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E-4275/2006 vom 20. November 2009</w:t>
      </w:r>
    </w:p>
    <w:p>
      <w:r>
        <w:t>Bundesverwaltungsgericht, 2009-11-20, FR</w:t>
      </w:r>
    </w:p>
    <w:p>
      <w:r>
        <w:rPr>
          <w:b/>
        </w:rPr>
        <w:t xml:space="preserve">Quelle: </w:t>
      </w:r>
      <w:r>
        <w:t>https://mcp.opencaselaw.ch/entscheid/bvger_E-4275_2006</w:t>
      </w:r>
    </w:p>
    <w:p>
      <w:r>
        <w:t>FR: TAF E-4275/2006 du 20 novembre 2009</w:t>
      </w:r>
    </w:p>
    <w:p>
      <w:r>
        <w:t>IT: TAF E-4275/2006 del 20 novembre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Le recourant a qualité pour recourir. Présenté dans la forme et les délais prescrits par la loi, le recours est recevable (art. 48,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la pertinence de ses motifs, quand bien même la crédibilité de son récit peut être globalement admise.</w:t>
      </w:r>
    </w:p>
    <w:p>
      <w:r>
        <w:rPr>
          <w:b/>
        </w:rPr>
        <w:t>E. 3.2</w:t>
      </w:r>
    </w:p>
    <w:p>
      <w:r>
        <w:t>En effet, le Tribunal constate que le récit de l'intéressé, s'il est laconique en certains points, reste cependant clair, cohérent et exempt de contradictions majeures ; il a, entre autres exemples, décrit de manière convaincante les circonstances des deux réunions des 15 avril et 1er mai 2005, et a précisément expliqué de quelle manière la distribution du journal du PDPKS était organisée à Dayrik. Les éléments peu clairs du récit, tels que l'ODM les a relevés, ne suffisent pas à rendre celui-ci invraisemblable, car ils portent sur des points secondaires ou ont été éclaircis par le recourant (cf. notamment audition du 3 février 2005, p. 14-15). Il en va ainsi de la personne qui lui remettait les journaux à distribuer (B._______ ou un autre militant), de l'identité de l'interrogateur (le chef de la sûreté, ou son adjoint, ou les deux), et de la personne l'ayant prévenu de l'arrivée imminente de la police lors de la seconde réunion (la femme ou le fils de D._______) ; les imprécisions du recourant sur ces points n'ont pas une portée décisive. De même, les détails du récit que l'ODM juge illogiques ou invraisemblables peuvent cependant trouver une explication convaincante : il n'est en effet pas anormal, pour un mouvement illégal, de diffuser son journal de nuit, pour des raisons évidentes de discrétion, quand bien même les risques d'être surpris par la police en sont accrus. De même, il n'est pas exclu que ses interrogateurs aient continué à maltraiter l'intéressé, alors qu'il avait déjà avoué détenir des journaux interdits, afin de s'assurer qu'il ne dissimulait plus rien. Vu le peu d'importance de son cas (cf. consid. 3.5. ci-dessous), les autorités ont pu décider de le relâcher, tout en maintenant sur lui une certaine surveillance ; cela expliquerait qu'une seconde interpellation ait été tentée, alors que le recourant assistait à une nouvelle réunion. Le Tribunal ne voit pas non plus de raison de douter que l'intéressé ait voulu, malgré les risques, reprendre contact avec les membres du PDPKS après sa courte détention. Enfin, il est compréhensible que l'intéressé, ayant pris contact avec ses proches pour se faire envoyer son attestation d'identité, élément de preuve essentiel, ait cependant renoncé à renouveler l'expérience sans nécessité, eu égard aux risques que cela aurait pu faire peser sur sa famille.</w:t>
      </w:r>
    </w:p>
    <w:p>
      <w:r>
        <w:rPr>
          <w:b/>
        </w:rPr>
        <w:t>E. 3.3</w:t>
      </w:r>
    </w:p>
    <w:p>
      <w:r>
        <w:t>Par ailleurs, l'ODM constate avec raison que le recourant s'est montré peu clair sur la catégorie à laquelle il appartenait, soit celle des Kurdes "ajanib" ou "maktumin" ; l'intéressé a cependant éclairci ce point de manière satisfaisante. A ce sujet, il faut rappeler que la Syrie compte 1,5 ou 2 millions de Kurdes. Tous connaissent une discrimination d'ordre culturel, aucune publication ou enseignement en langue kurde n'étant autorisés. La situation est cependant plus difficile encore pour 120.000 à 200.000 d'entre eux (selon les diverses sources), qui descendent de personnes privées de la nationalité syrienne depuis une décision dans ce sens du gouvernement, remontant au recensement de 1962 ; ils sont qualifiés de "ajanib" (étrangers), ont le statut d'étrangers résidant légalement en Syrie, et sont titulaires d'une pièce d'identité spéciale, qui leur interdit de quitter le territoire. Ces personnes sont exposées à plusieurs discriminations : elles ne peuvent accéder à certaines formations et professions, ni à la fonction publique, et que limitativement aux soins médicaux ; en outre, elles n'ont pas droit aux titres universitaires, ni à la propriété foncière, et leur droit au mariage avec des nationaux syriens est limité. Quant aux "maktumin" (terme signifiant "inexistant" ou "caché"), descendant de personnes non recensées en 1962, au nombre de 75.000 ou 100.000, ils ne possèdent pas d'existence légale, et ne peuvent en conséquence se marier ; ils ne peuvent recevoir de pièce d'identité, mais uniquement une attestation délivrée par les autorités municipales (cf. OSAR, Syrie, Mise à jour : développements actuels, août 2008 ; idem, Syrien : Update des Entwicklung von Mai 2004 bis September 2006, octobre 2006 ; Home Office, Syria, février 2009 ; US State Department, Country Report on human Rights Practices, mars 2009 ; Université de Laval, L'aménagement linguistique dans le monde, accessible sous http://www.tlfq.ulaval.ca/axl). Malgré les annonces faites périodiquement par le gouvernement, la reconnaissance de la nationalité syrienne à ces deux catégories n'a jamais été mise en oeuvre, voire sérieusement envisagée (cf. US State Department, op. cit.). En l'espèce, le recourant a expliqué (cf. audition du 3 février 2005, p. 14-15) que lors des premières auditions, il avait utilisé le terme de "ajanib" comme synonyme d'étranger, au sens général, mais qu'il appartenait bien à la catégorie des "maktumin" ; il avait d'ailleurs aussitôt précisé (cf. audition du 24 juin 2003, p. 4) qu'il ne disposait que d'une attestation d'identité délivrée par le "mukhtar" de sa commune, pièce qu'il a d'ailleurs ensuite produite. Il peut donc être considéré comme établi que l'intéressé est bien un Kurde "maktum".</w:t>
      </w:r>
    </w:p>
    <w:p>
      <w:r>
        <w:rPr>
          <w:b/>
        </w:rPr>
        <w:t>E. 3.4</w:t>
      </w:r>
    </w:p>
    <w:p>
      <w:r>
        <w:t>La jurisprudence en matière d'asile s'est plusieurs fois penchée sur la situation de cette catégorie particulière, et également sur celles des activistes kurdes syriens politiquement engagés. Il en ressort (cf. Jurisprudence et informations de la Commission suisse de recours en matière d'asile [JICRA] 2002 n° 23 p. 182ss) que la seule apparte-nance au groupe des "maktumin" n'est pas en soi une cause de persécution, et ne rend pas l'exécution du renvoi inexigible ; le fait, pour les "maktumin", de se voir entravés dans plusieurs actes de leur vie quotidienne n'est pas de nature à être qualifié de persécution, les conditions posées à cet égard par l'art. 3 LAsi n'étant pas remplies. Un risque de persécution ne découlerait en pratique que d'une activité politique personnelle, revêtant une certaine intensité et montrant un degré d'engagement élevé (cf. JICRA 2005 n° 7 consid. 7.2.1, p. 70-71).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En effet, les mouvements kurdes de Syrie (dont le principal est le Yekiti, ["Unité"]) sont au nombre d'une douzaine, cette fragmentation les rendant peu dangereux pour l'Etat. Leurs activités sont considérées comme illégales. Toutefois, pour autant qu'elles mettent l'accent sur le domaine culturel, et non uniquement politique, elles ont longtemps bénéficié d'une tolérance de fait des autorités, tolérance cependant traversée d'épisodes répressifs dont l'aspect arbitraire renforçait l'effet (cf. OSAR, Mise à jour : développements actuels, août 2008 ; Home Office, op. cit., ch.12.23). La situation s'est tendue en mars 2004, lors de violents affrontements entre Kurdes et Arabes survenus dans la ville de Qamishli, à la suite d'une rencontre sportive. 30 à 40 personnes ont été tuées, et environ 2000 émeutiers arrêtés ; la plupart de ceux-ci ont cependant été libérés ou amnistiés dans les mois suivants, hormis les plus engagés (cf. OSAR, op. cit. ; Home Office, op. cit.). En novembre 2007, puis en mars 2008, des heurts analogues, mais moins graves, faisant quelques victimes, se sont reproduits, toujours à Qamishli ; là encore, les autorités ont procédé à un certain nombre d'arrestations, mais ont généralement relâché les personnes interpellées après peu de temps (cf. Home Office, op. cit.). Comme ces différents éléments le montrent, l'attitude de l'Etat syrien peut s'interpréter comme exprimant le souci, tout en maintenant une stricte surveillance de la communauté kurde et en réprimant toutes les manifestations de subversion, de ne pas envenimer la situation, dans le cadre d'un modus vivendi implicite avec cette communauté. Au début de 2007, un nombre difficile à estimer, mais restreint d'activistes kurdes (de 10 à 300 selon les sources) restait emprisonné, et devait faire face à des accusations d'activités séparatistes ou d'appartenance à une organisation illégale (ibidem, ch. 12.27).</w:t>
      </w:r>
    </w:p>
    <w:p>
      <w:r>
        <w:rPr>
          <w:b/>
        </w:rPr>
        <w:t>E. 3.5</w:t>
      </w:r>
    </w:p>
    <w:p>
      <w:r>
        <w:t>En ce qui concerne A._______ lui-même, le Tribunal considère certes comme suffisamment établi qu'il a effectivement entretenu des contacts avec le PDPKS ; il a exposé avec clarté l'organisation du parti à Dayrik et a fourni les noms de ses principaux dirigeants locaux, ainsi que ceux de plusieurs militants qu'il a connus. Il n'est cependant pas attesté qu'il ait été réellement membre de ce mouvement : l'attestation fournie dans le cadre de la première procédure, signée Hamid Haji Darwish, est entièrement manuscrite, excepté un timbre portant la mention obscure "bureau politique 1957", et ne comporte aucun en-tête. Quant à celle déposée le 22 août 2005, rédigée en termes très généraux, elle émane de la section suisse du mouvement et ne peut donc guère attester valablement des activités militantes du recourant en Syrie ; ce dernier n'a d'ailleurs pas donné suite à son engagement d'en produire une preuve plus explicite. De plus, son activité concrète ne permet pas de considérer le recourant comme un militant important et particulièrement actif du PDPKS, ni de conclure qu'il intéressait particulièrement les autorités. Il ne figurait en effet pas parmi les cadres du mouvement, même au niveau local. En outre, il ressort du dossier qu'après avoir diffusé durant plusieurs années le journal du parti, sans être repéré, il aurait été brièvement interpellé après avoir été surpris en possession de plusieurs exemplaires. La police, qui l'aurait maltraité pour savoir d'où il les tenait, se serait contentée de sa réponse selon laquelle le chef adjoint du parti les lui avait remis, ce qui n'était pourtant guère crédible ; elle aurait ensuite relâché le recourant, contre son engage-ment de cesser son activité. Cette attitude des autorités n'est pas de nature à faire présumer, de leur part, un grand intérêt pour le cas du recourant. Le fait qu'il ait été surveillé et ait manqué être de nouveau interpellé, deux semaines plus tard, ne modifie pas cette appréciation ; en effet, il n'a en rien rendu crédible qu'il ait été recherché activement, ni le cas échéant qu'il le soit encore aujourd'hui. Etant donné le comportement qu'ont adopté les autorités syriennes envers les mouvements kurdes et leurs adhérents, rappelé ci-dessus, il n'est pas vraisemblable que le recourant soit menacé de manière hautement probable d'être arrêté ou poursuivi en revenant sur le territoire syrien.</w:t>
      </w:r>
    </w:p>
    <w:p>
      <w:r>
        <w:rPr>
          <w:b/>
        </w:rPr>
        <w:t>E. 3.6</w:t>
      </w:r>
    </w:p>
    <w:p>
      <w:r>
        <w:t>Après son retour, il est certes plausible que le recourant, comme tous les ressortissants syriens revenant d'un long déplacement à l'étranger, fera l'objet d'une audition par les services de sécurité ; cette éventualité est d'autant plus probable pour un Kurde "maktum". Dans un tel cas, il sera sans doute interrogé sur les raisons de son séjour à l'étranger, mais surtout sur ses faits et gestes durant cette période, ainsi que sur les personnes qu'il a rencontrées. Un tel interrogatoire serait de nature à mettre l'intéressé en danger, s'il avait entretenu à l'étranger des activités politiques ou y était entré en contact avec des mouvement illégaux. Cependant, le recourant s'est abstenu, depuis son arrivée en Suisse, de tout engagement politique ; de plus, aucun des membres de sa famille ne paraît avoir attiré défavorablement l'attention des autorités syriennes durant cette période, ce qui aurait été de nature à le faire suspecter plus particulièrement. Dès lors, il n'y a pas de motif d'admettre que le contrôle de sécurité que l'intéressé devra subir après son retour soit de nature à l'exposer à un risque de persécution.</w:t>
      </w:r>
    </w:p>
    <w:p>
      <w:r>
        <w:rPr>
          <w:b/>
        </w:rPr>
        <w:t>E. 3.7</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L'admission du renvoi est ordonnée si l'exécution du renvoi n'est ni licite, ni raisonnablement exigible ni possible (cf.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doit constater que le recourant, comme il a été vu ci-dessus, ne court pas un risque concret et sérieux d'être soumis à des traitements d'une telle nature.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Syrie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A cet égard, l'autorité de céans relève que l'intéressé est jeune, sans charge de famille, au bénéfice d'une expérience professionnelle dans le commerce et n'a pas allégué de problème de santé particulier.</w:t>
      </w:r>
    </w:p>
    <w:p>
      <w:r>
        <w:rPr>
          <w:b/>
        </w:rPr>
        <w:t>E. 7.3</w:t>
      </w:r>
    </w:p>
    <w:p>
      <w:r>
        <w:t>Enfin, le Tribunal considère comme utile de relever que le degré d'intégration du recourant en Suisse et le long séjour qu'il y a accompli ne sont pas des facteurs pouvant être pris en considération ici, l'autorité d'asile devant uniquement se baser, pour décider de l'exécution du renvoi, de la situation qui sera celle du recourant après son retour dans son pays d'origine. Toutefois, un degré suffisant d'intégration constitue une des conditions mise par la loi à la délivrance d'une autorisation de séjour pour cas de rigueur (art. 14 al. 2 de la loi sur l'asile du 26 juin 1998 [LAsi, RS 142.31]), délivrance qu'il appartient au canton de résidence de proposer à l'ODM. Il incombe donc à l'intéressé, s'il entend bénéficier de cette possibilité, d'entamer les démarches nécessaires auprès de l'autorité cantonale.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