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E-4273/2013 vom 5. Dezember 2013</w:t>
      </w:r>
    </w:p>
    <w:p>
      <w:r>
        <w:t>Bundesverwaltungsgericht, 2013-12-05, DE</w:t>
      </w:r>
    </w:p>
    <w:p>
      <w:r>
        <w:rPr>
          <w:b/>
        </w:rPr>
        <w:t xml:space="preserve">Quelle: </w:t>
      </w:r>
      <w:r>
        <w:t>https://mcp.opencaselaw.ch/entscheid/bvger_E-4273_2013</w:t>
      </w:r>
    </w:p>
    <w:p>
      <w:r>
        <w:t>FR: TAF E-4273/2013 du 5 décembre 2013</w:t>
      </w:r>
    </w:p>
    <w:p>
      <w:r>
        <w:t>IT: TAF E-4273/2013 del 5 dicembre 2013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11. Juli 2013 wird aufgehoben. Die Vorinstanz wird angewiesen, das Asylverfahren der Beschwerdeführerin in der Schweiz durchzuführen</w:t>
      </w:r>
    </w:p>
    <w:p>
      <w:r>
        <w:rPr>
          <w:b/>
        </w:rPr>
        <w:t>E. 3</w:t>
      </w:r>
    </w:p>
    <w:p>
      <w:r>
        <w:t>Es werden keine Verfahrenskosten auferlegt. Der geleistete Kostenvorschuss in der Höhe von Fr. 600. wird der Beschwerdeführerin durch das Bundesverwaltungsgericht rückerstattet.</w:t>
      </w:r>
    </w:p>
    <w:p>
      <w:r>
        <w:rPr>
          <w:b/>
        </w:rPr>
        <w:t>E. 4</w:t>
      </w:r>
    </w:p>
    <w:p>
      <w:r>
        <w:t>Das BFM wird angewiesen, der Beschwerdeführerin für das Verfahren vor dem Bundesverwaltungsgericht eine Parteientschädigung von Fr. 1'500.- auszurichten.</w:t>
      </w:r>
    </w:p>
    <w:p>
      <w:r>
        <w:rPr>
          <w:b/>
        </w:rPr>
        <w:t>E. 5</w:t>
      </w:r>
    </w:p>
    <w:p>
      <w:r>
        <w:t>Dieses Urteil geht an die Beschwerdeführerin, das BFM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