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E-4270/2012 vom 29. August 2012</w:t>
      </w:r>
    </w:p>
    <w:p>
      <w:r>
        <w:t>Bundesverwaltungsgericht, 2012-08-29, DE</w:t>
      </w:r>
    </w:p>
    <w:p>
      <w:r>
        <w:rPr>
          <w:b/>
        </w:rPr>
        <w:t xml:space="preserve">Quelle: </w:t>
      </w:r>
      <w:r>
        <w:t>https://mcp.opencaselaw.ch/entscheid/bvger_E-4270_2012</w:t>
      </w:r>
    </w:p>
    <w:p>
      <w:r>
        <w:t>FR: TAF E-4270/2012 du 29 août 2012</w:t>
      </w:r>
    </w:p>
    <w:p>
      <w:r>
        <w:t>IT: TAF E-4270/2012 del 29 agosto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unter Vorbehalt nachfolgender Erwägungen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dass der Beschwerdeführer mit einem französischen Visum nach Frankreich gereist sei. Die französischen Behörden hätten das Ersuchen des BFM um Übernahme des Beschwerdeführers gestützt auf Art. 9 Abs. 4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und seien zur Durchführung des Asyl- und Wegweisungsverfahrens zuständig.</w:t>
      </w:r>
    </w:p>
    <w:p>
      <w:r>
        <w:rPr>
          <w:b/>
        </w:rPr>
        <w:t>E. 3.3</w:t>
      </w:r>
    </w:p>
    <w:p>
      <w:r>
        <w:t>Der Beschwerdeführer macht geltend, er habe (...) teilgenommen und sei anschliessend untergetaucht. (...) habe viel Einfluss und (...) in Frankreich. Es bestehe somit die Möglichkeit, dass sie ihn dort finden und eliminieren würden.</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Art. 29a Abs. 3 der Asylverordnung 1 vom 11. August 1999 über Verfahrensfragen (AsylV 1, SR 142.311)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(BVGE a.a.O. E. 8.2.2.).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4.2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Soweit der Beschwerdeführer eine Beurteilung seiner durchaus glaubhaften Asylgründe anstrebt, ist auf die Beschwerde nicht einzutreten.</w:t>
      </w:r>
    </w:p>
    <w:p>
      <w:r>
        <w:rPr>
          <w:b/>
        </w:rPr>
        <w:t>E. 4.3</w:t>
      </w:r>
    </w:p>
    <w:p>
      <w:r>
        <w:t>Der Beurteilungskompetenz entsprechend ist vorliegend einzig zu prüfen, ob die Vorinstanz zu Recht von der Zuständigkeit Frankreichs ausgegangen ist. Frankreich ist Signatarstaat der FK, EMRK und FoK. Unter dem Dublin-System besteht die Vermutung, dass alle Mitgliedstaaten bzw. staatsvertraglich assoziierten Staaten die Rechte der EMRK garantieren und die Zuständigkeitsordnung selbst ein EMRK-konformes Ergebnis liefert. Es bestehen keine konkreten Hinweise dafür, dass Frankreich sich nicht an die internationalen Verpflichtungen hält und es ist grundsätzlich von der Schutzfähigkeit der französischen Behörden auszugehen. Auch wenn es zutreffen sollte, dass der Beschwerdeführer nicht nur in seinem Heimatland verfolgt ist, sondern dass es auch in Frankreich Personen gibt, die ihn bedrohen oder ihm gar nach dem Leben trachten, besteht kein Anlass anzunehmen, die zuständigen französischen Behörden würden ihm auf sein Ersuchen hin den erforderlichen Schutz versagen. Der Beschwerdeführer ist ein junger, gesunder Mann und es liegen keine Hinweise auf ernsthafte gesundheitliche Probleme psychischer oder physischer Natur vor. Er ist daher gehalten, sein Asylgesuch in Frankreich einzureichen. Darüber hinaus bringt er nichts vor, was geeignet wäre, das Bundesamt aus humanitären Gründen zu veranlassen, auf das Asylgesuch einzutreten (Art. 29a Abs. 3 AsylV 1). Die Vorinstanz ist damit zutreffend von der Zuständigkeit Frankreichs ausgegangen und in Anwendung von Art. 34 Abs. 2 Bst. d AsylG zu Recht auf das Asylgesuch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Im Rahmen des Dublin-Verfahrens, bei dem es sich um ein Überstellungsverfahren handelt, bleibt systembedingt kein Raum für Ersatzmassnahmen im Sinne von Art. 44 Abs. 2 AsylG i.V.m. Art. 83 Abs. 3 und 4 AuG (vgl. BVGE 2010/45 E. 10.2). Eine entsprechende Prüfung, soweit notwendig, findet bereits im Rahmen des Nichteintretensentscheides statt. Die Vorinstanz hat den Vollzug der Wegweisung in diesem Sinne daher zu Recht als zulässig, zumutbar und möglich bezeichnet.</w:t>
      </w:r>
    </w:p>
    <w:p>
      <w:r>
        <w:rPr>
          <w:b/>
        </w:rPr>
        <w:t>E. 7</w:t>
      </w:r>
    </w:p>
    <w:p>
      <w:r>
        <w:t>Nach dem Gesagten ergibt sich, dass die angefochtene Verfügung Bundesrecht nicht verletzt und auch sonst nicht zu beanstanden ist (vgl. Art. 106 Abs. 1 AsylG). Die Beschwerde ist abzuweisen.</w:t>
      </w:r>
    </w:p>
    <w:p>
      <w:r>
        <w:rPr>
          <w:b/>
        </w:rPr>
        <w:t>E. 8</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Dem Gesuch um Gewährung der unentgeltlichen Prozessführung kann nicht stattgeben werden, weil das Parteibegehren im Sinne von Art. 65 Abs. 1 VwVG als aussichtslos zu gelten hat. Das Gesuch um Erlass des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