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E-426/2018 vom 18. Mai 2020</w:t>
      </w:r>
    </w:p>
    <w:p>
      <w:r>
        <w:t>Bundesverwaltungsgericht, 2020-05-18, DE</w:t>
      </w:r>
    </w:p>
    <w:p>
      <w:r>
        <w:rPr>
          <w:b/>
        </w:rPr>
        <w:t xml:space="preserve">Quelle: </w:t>
      </w:r>
      <w:r>
        <w:t>https://mcp.opencaselaw.ch/entscheid/bvger_E-426_2018</w:t>
      </w:r>
    </w:p>
    <w:p>
      <w:r>
        <w:t>FR: TAF E-426/2018 du 18 mai 2020</w:t>
      </w:r>
    </w:p>
    <w:p>
      <w:r>
        <w:t>IT: TAF E-426/2018 del 18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4</w:t>
      </w:r>
    </w:p>
    <w:p>
      <w:r>
        <w:t>Die Vorinstanz entschied über die Asylgesuche des Beschwerdeführers und seiner Ehefrau in zwei separaten Verfügungen, da die Ehefrau frauenspezifische Vorbringen anführte. Das Bundesverwaltungsgericht hat daher zwei Beschwerdeverfahren eröffnet; das vorliegende Verfahren für den Beschwerdeführer sowie das Verfahren E-427/2018 für die Ehefrau. Die beiden Beschwerdeverfahren wurden koordiniert behandelt und entschieden.</w:t>
      </w:r>
    </w:p>
    <w:p>
      <w:r>
        <w:rPr>
          <w:b/>
        </w:rPr>
        <w:t>E. 5.1</w:t>
      </w:r>
    </w:p>
    <w:p>
      <w:r>
        <w:t>Der Beschwerdeführer rügt eine unvollständige Abklärung des rechtserheblichen Sachverhaltes. Die Vorinstanz habe es unterlassen, den Wegweisungsvollzug für die gesamte Familie - ihn, seine Ehefrau und die gemeinsamen Kinder - zu prüfen. Sie habe sich in der Verfügung nicht dazu geäussert, ob seine Ehefrau und die Kinder mit nach Äthiopien ausreisen könnten; stattdessen werde die Ehefrau nicht einmal erwähnt. Der Verweis auf die Mitwirkungspflicht der Ehefrau sei als Grund für die unterlassene Prüfung unzureichend. Hierbei handelt es sich um eine formelle Rüge, welche vorab zu beurteilen ist, da sie allenfalls geeignet wäre,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Aus den Akten ist nicht ersichtlich, dass die Vorinstanz am Bestand der Ehe und des Familienlebens des Beschwerdeführers und seiner Ehefrau mit den gemeinsamen Kindern gezweifelt hätte. Dennoch liess sie dieses Sachverhaltselement bei der Prüfung des Wegweisungsvollzugs gänzlich unbeachtet. Dadurch stellte sie den rechtserheblichen Sachverhalt unvollständig fest. Eine Rückweisung der Sache hätte indes einen prozessualen Leerlauf dargestellt, weshalb das Gericht die Vorinstanz mit Zwischenverfügung vom 13. Februar 2018 aufforderte, zur Beschwerdeschrift Stellung zu nehmen, wobei sie sich insbesondere zur Berücksichtigung der Einheit der Familie im Rahmen des Wegweisungsvollzugs zu äussern habe. Dieser Aufforderung kam die Vorinstanz in ihrer Vernehmlassung nach. Der Beschwerdeführer hatte anschliessend Gelegenheit, sich in seiner Replik zur Vernehmlassung zu äussern. Zudem verfügt das Bundesverwaltungsgericht bei der Prüfung des Wegweisungsvollzugs über volle Kognition. Die Gehörsverletzung wurde demnach auf Beschwerdeebene geheilt. Es erübrigt sich, der Gehörsverletzung bei der Kostenauferlegung Rechnung zu tragen, da dem Beschwerdeführer die unentgeltliche Rechtspflege gewährt wurde.</w:t>
      </w:r>
    </w:p>
    <w:p>
      <w:r>
        <w:rPr>
          <w:b/>
        </w:rPr>
        <w:t>E. 5.4</w:t>
      </w:r>
    </w:p>
    <w:p>
      <w:r>
        <w:t>Insgesamt besteht keine Veranlassung, die Sache aus formellen Gründen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der Beschwerdeführer habe an der Anhörung kaum etwas über das politische Engagement des Vaters erzählen können; er habe nicht einmal gewusst, für welche Oromo-Partei der Vater gearbeitet habe. Erst an der ergänzenden Anhörung habe er die ABO-Partei angegeben. Die Erklärung, die Angehörigen und Parteifreunde des Vaters hätten ihn nicht über dessen politische Aktivitäten aufklären wollen, sei nicht nachvollziehbar, da er zugleich angegeben habe, diese Personen hätten ihn für politische Aktivitäten eingespannt. Ebenso wenig sei nachvollziehbar, dass die Behörden Dokumente von ihm verlangt hätten, ohne auszuführen, um welche Dokumente es sich handle. Als angeblicher Sympathisant der ABO-Partei habe er keine substantiierten Angaben zum Parteiprogramm und zu den Parteiaktivitäten machen können. Des Weiteren habe er sich bezüglich der Anzahl der Inhaftierungen, der Haftdauern und des Grundes der letzten Verhaftung widersprochen. Seine Angaben zur exilpolitischen Tätigkeit seien dürftig ausgefallen. Insgesamt seien die Vorbringen des Beschwerdeführers unglaubhaft.</w:t>
      </w:r>
    </w:p>
    <w:p>
      <w:r>
        <w:rPr>
          <w:b/>
        </w:rPr>
        <w:t>E. 7.2</w:t>
      </w:r>
    </w:p>
    <w:p>
      <w:r>
        <w:t>Der Beschwerdeführer macht geltend, er habe zum politischen Engagement und zur Berufstätigkeit seines Vaters kaum etwas berichten können, weil er im Zeitpunkt des Todes seiner Eltern erst circa (...) Jahre alt gewesen sei. Seine Grossmutter sei Analphabetin gewesen und habe ihm darüber auch nichts Genaueres sagen können. Den Namen der Partei, für die sein Vater tätig gewesen sei, habe er bereits an der ersten Anhörung genannt. Er habe keine Angaben zu den verlangten Dokumenten machen können, weil er damals erst elf Jahre alt gewesen sei. Zu seinen politischen Aktivitäten habe er wenig erzählen können, weil er ein ungebildeter Jugendlicher gewesen sei, der sich hauptsächlich wegen seines ermordeten Vaters engagiert habe. Die Anzahl und den Zeitpunkt der Verhaftungen sowie die jeweiligen Haftdauern habe er widerspruchsfrei angegeben. Die Inhaftierungen habe er mit zahlreichen Realkennzeichen versehen geschildert. Insgesamt seien seine Vorbringen glaubhaft. Als politisch exponierte Person habe er in Äthiopien asylrelevante Nachteile erlitten. Bei einer Rückkehr würden nach wie vor Verfolgungsmassnahmen drohen, zumal er auch in der Schweiz exilpolitisch aktiv sei. Aufgrund seines Bruders, der Mitglied bei der Befreiungsfront sei, drohe ihm zudem eine Reflexverfolgung. Für die Ehefrau und die Kinder komme lediglich ein Wegweisungsvollzug nach Äthiopien in Frage, da sie ihre eritreische Herkunft nicht beweisen könne. Äthiopien anerkenne zwar das Recht auf die äthiopische Staatsangehörigkeit bei Kindern aus gemischter Ehe. Aus dem Ausland funktioniere dies bei Personen mit eritreischem Hintergrund aber nicht. Auch die Ehefrau habe keine Möglichkeit, äthiopische Identitätspapiere zu erhalten. Der Wegweisungsvollzug sei zudem unzumutbar. Er und seine Ehefrau hätten keine Familienangehörige in Äthiopien, die sie unterstützen könnten. Zudem hätten sie Äthiopien bereits im Alter von circa 13 oder 14 Jahren verlassen. Erschwerend komme hinzu, dass seine Ehefrau mehrere traumatisierende Erlebnisse in Äthiopien erlebt habe.</w:t>
      </w:r>
    </w:p>
    <w:p>
      <w:r>
        <w:rPr>
          <w:b/>
        </w:rPr>
        <w:t>E. 7.3</w:t>
      </w:r>
    </w:p>
    <w:p>
      <w:r>
        <w:t>In der Vernehmlassung führt die Vorinstanz aus, gemäss Rechtsprechung könne sich eine Person einer gemischtnationalen Ehe nur dann auf den Grundsatz der Einheit der Familie berufen, wenn sie sich nicht gemeinsam mit dem nichtgefährdeten Ehegatten in dessen Heimatstaat begeben könne. Die Mitwirkungspflichtverletzung der Ehefrau des Beschwerdeführers habe zur Folge, dass nicht geklärt werden könne, ob die Ehefrau ihre familiären Beziehungen in ihrem Heimatstaat oder in einem Drittstaat leben könne. Durch die Verunmöglichung dieser Abklärung dürfe die Ehefrau nicht bessergestellt werden als Personen, die durch die Offenlegung ihrer Identität eine Prüfung der hypothetischen Rückführungsmöglichkeit bei gemischtnationalen Ehen ermöglichten. Die Ehefrau habe die Möglichkeit, ihre Identität offenzulegen, damit die besagte Prüfung durchgeführt werden könne.</w:t>
      </w:r>
    </w:p>
    <w:p>
      <w:r>
        <w:rPr>
          <w:b/>
        </w:rPr>
        <w:t>E. 7.4</w:t>
      </w:r>
    </w:p>
    <w:p>
      <w:r>
        <w:t>Der Beschwerdeführer bringt in der Replik vor, die Vorinstanz erachte die eritreische Herkunft seiner Ehefrau für unglaubhaft und vermute eine äthiopische Staatsangehörigkeit. Es stehe somit nicht eine Auswahl hypothetisch möglicher Staaten zur Verfügung, sondern nur Äthiopien. Die Vor-instanz hätte prüfen müssen, ob er mit seiner Familie in Äthiopien leben könne.</w:t>
      </w:r>
    </w:p>
    <w:p>
      <w:r>
        <w:rPr>
          <w:b/>
        </w:rPr>
        <w:t>E. 8.1</w:t>
      </w:r>
    </w:p>
    <w:p>
      <w:r>
        <w:t>Dem Beschwerdeführer ist zuzugestehen, dass seine Angaben zu den Verhaftungen und der Haftdauer grundsätzlich stimmig sind. Dennoch bestehen Zweifel an der Glaubhaftigkeit seiner Asylvorbringen. Nach Angaben des Beschwerdeführers wurde sein Vater im Gefängnis umgebracht, weil er der ABO-Partei angehört hat. Nach zwei Jahren brachte ihn die Polizei auf eine Polizeistation, wo sie ihn schlugen und Dokumente herausverlangten. Es ist nicht nachvollziehbar, weshalb die Polizei den Beschwerdeführer erst zwei Jahre nach dem Tod seines Vaters aufgesucht haben soll. Ebenso wenig nachvollziehbar ist, dass sie überhaupt ein Interesse an ihm gehabt haben sollen, da er beim Tod seines Vaters gerade einmal acht Jahre alt war und daher kaum etwas über dessen Aktivitäten wissen konnte. Auf eine vertiefte Glaubhaftigkeitsprüfung kann indes verzichtet werden, da es den Vorbringen, wie nachfolgend aufgezeigt, an der Asylrelevanz fehlt.</w:t>
      </w:r>
    </w:p>
    <w:p>
      <w:r>
        <w:rPr>
          <w:b/>
        </w:rPr>
        <w:t>E. 8.2</w:t>
      </w:r>
    </w:p>
    <w:p>
      <w:r>
        <w:t>Das Bundesverwaltungsgericht analysierte im ReferenzurteilD-6630/2018 vom 6. Mai 2019 die politische Lage in Äthiopien. Demzufolge hat sich die Lage in Äthiopien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Ginbot 7, die Vereinigungen Oromo-Befreiungsfront (OLF) und Ogaden National Liberation Front (ONLF), die sich für die Anliegen der Oromo einsetzen, wurden im Juli 2018 von der Liste der terroristischen Gruppierungen gestrichen(Referenzurteil D-6630/2018 E. 7). Vor diesem Hintergrund ist nicht davon auszugehen, dass der Beschwerdeführer im heutigen Zeitpunkt als allfälliger Unterstützer der Sache der Oromo seitens der heimatlichen Behörden asylrechtlich relevanter Verfolgung ausgesetzt wäre.</w:t>
      </w:r>
    </w:p>
    <w:p>
      <w:r>
        <w:rPr>
          <w:b/>
        </w:rPr>
        <w:t>E. 8.3</w:t>
      </w:r>
    </w:p>
    <w:p>
      <w:r>
        <w:t>Es bleibt zu prüfen, ob der Beschwerdeführer aufgrund der geltend gemachten exilpolitischen Aktivitäten bei einer Rückkehr nach Äthiopien begründete Furcht vor Verfolgung im Sinne von Art. 3 AsylG hat. 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Im erwähnten Referenzurteil D-6630/2018 E. 8 kam das Bundesverwaltungsgericht zum Schluss, dass angesichts der positiven Entwicklung der politischen Lage in Äthiopien seit dem Amtsantritt des neuen Premierministers Abiy Ahmed im April 2018 die Befürchtung, im Fall einer Rückkehr nach Äthiopien wegen exilpolitischer Tätigkeit flüchtlingsrechtlich relevanten Nachteilen ausgesetzt zu sein, unbegründet ist (E. 8). Das Vorliegen subjektiver Nachfluchtgründe ist folglich zu verneinen.</w:t>
      </w:r>
    </w:p>
    <w:p>
      <w:r>
        <w:rPr>
          <w:b/>
        </w:rPr>
        <w:t>E. 8.4</w:t>
      </w:r>
    </w:p>
    <w:p>
      <w:r>
        <w:t>Zusammenfassend ist festzuhalten, dass keine konkreten Anhaltspunkte für eine im heutigen Zeitpunkt objektiv begründete Furcht des Beschwerdeführers vor einer Verfolgung im Sinne von Art. 3 AsylG durch die äthiopischen Behörden vorliegen. Die Vorinstanz hat das Asylgesuch des Beschwerdeführers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und seine Familie verfügen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dem Beschwerdeführer und seiner Ehefrau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und seine Ehefrau für den Fall einer Ausschaffung nach Äthiopien dort mit beachtlicher Wahrscheinlichkeit einer nach Art. 3 EMRK oder Art. 1 FoK verbotenen Strafe oder Behandlung ausgesetzt wären. Der Vollzug der Wegweisung nach Äthiopien ist folglich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10.3.2</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dem Amtsantritt von Premierminister Abiy Ahmed im Frühling 2018 stabiler. Die allgemeine Lage in Äthiopien ist weder durch Krieg, Bürgerkrieg noch durch eine Situation allgemeiner Gewalt gekennzeichnet, aufgrund derer die Zivilbevölkerung generell als konkret gefährdet bezeichnet werden müsste (vgl. Referenzurteil des BVGer D-6630/2018 vom 6. Mai 2019 E. 12.2, in Bestätigung von BVGE 2011/25 E. 8.3). Gemäss Praxis sind zur Erlangung einer sicheren Existenzgrundlage jedoch begünstigende Faktoren wie genügend finanzielle Mittel, berufliche Fähigkeiten sowie ein intaktes Beziehungsnetz erforderlich (BVGE 2011/25 E. 8.4).</w:t>
      </w:r>
    </w:p>
    <w:p>
      <w:r>
        <w:rPr>
          <w:b/>
        </w:rPr>
        <w:t>E. 10.3.3</w:t>
      </w:r>
    </w:p>
    <w:p>
      <w:r>
        <w:t>Der Beschwerdeführer und seine Ehefrau sind jung, gesund und stammen aus Addis Abeba. Sie verfügen über Berufserfahrung. Die Ehefrau arbeitete in Äthiopien und im Sudan als Hausmädchen und Haushälterin. Der Beschwerdeführer war als Schuhputzer und Coiffeur tätig. In der Schweiz arbeitete er als festangestellte Küchenhilfe in einem Altersheim. Folglich sollte es zumindest dem Beschwerdeführer möglich sein, nach einer gewissen Zeit wieder für die Familie sorgen zu können. Der Beschwerdeführer hat eine Grossmutter, einen Bruder und mehrere Onkel und Tanten. Die Grossmutter dürfte nicht in der Lage sein, die junge Familie zu unterstützen und der Bruder lebt nicht in Äthiopien. Es erscheint indes wenig überzeugend, dass der Beschwerdeführer, auch als er noch in Addis Abeba gelebt hat, nie irgendwelchen Kontakt zu den Onkeln und Tanten gehabt haben soll. Vielmehr ist anzunehmen, dass Kontakte zumindest früher bestanden haben und sich diese nach einer Rückkehr wiederaufnehmen lassen. Aufgrund ihrer Verletzung der Mitwirkungspflicht ist grundsätzlich davon auszugehen, dass der Wegweisungsvollzug für die Ehefrau zumutbar ist. Aus ihren Angaben lässt sich auch schliessen, dass sie mit dem Ehepaar und dessen Kindern, bei denen sie aufgewachsen ist, über ein Beziehungsnetz in Äthiopien verfügt. Die minderjährigen Kinder mit den Jahrgängen (...) und (...) sind aufgrund ihres Alters noch nicht in der Schweiz verwurzelt; ihre Eltern stellen ihre wichtigsten Bezugspersonen dar. Das Wohl der Kinder steht einem Wegweisungsvollzug nicht entgegen (vgl. Art. 3 des Übereinkommens über die Rechte des Kindes [KRK SR 0.107]). Insgesamt ist somit davon auszugehen, dass der Wegweisungsvollzug für den Beschwerdeführer und seine Familie in individueller Hinsicht zumutbar ist.</w:t>
      </w:r>
    </w:p>
    <w:p>
      <w:r>
        <w:rPr>
          <w:b/>
        </w:rPr>
        <w:t>E. 10.4</w:t>
      </w:r>
    </w:p>
    <w:p>
      <w:r>
        <w:t>Schliesslich obliegt es dem Beschwerdeführer und seiner Ehefrau, sich bei der zuständigen Vertretung des Heimatstaates die für eine Rückkehr notwendigen Reisedokumente zu beschaffen (vgl. Art. 8 Abs. 4 AsylG und dazu auch BVGE 2008/34 E. 12). Anzufügen ist, dass es der Ehefrau, selbst wenn sie keine äthiopische Staatsangehörige wäre, und ihren Kindern als Ehefrau beziehungsweise Kinder eines äthiopischen Staatsangehörigen möglich sein sollte, entsprechende Reisedokumente zu beschaffen (vgl. Urteil des BVGer E-2952/2018 vom 17. April 2020 E. 5.3). Der Vollzug der Wegweisung ist daher auch als möglich zu bezeichnen (Art. 83 Abs. 2 AIG).</w:t>
      </w:r>
    </w:p>
    <w:p>
      <w:r>
        <w:rPr>
          <w:b/>
        </w:rPr>
        <w:t>E. 11</w:t>
      </w:r>
    </w:p>
    <w:p>
      <w:r>
        <w:t>Aus diesen Erwägungen ergibt sich, dass die angefochtene Verfügung Bundesrecht nicht verletzt, den rechtserheblichen Sachverhalt richtig sowie vollständig feststellt (Art. 106 Abs. 1 AsylG) und angemessen ist. Die Beschwerde ist daher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13. Februar 2018 wurde das Gesuch um Gewährung der unentgeltlichen Prozessführung gutgeheissen. Gemäss dem eingereichten Arbeitsvertrag verdient der Beschwerdeführer seit dem 19. Mai 2019 monatlich brutto Fr. 3'900.-. Dank diesem Lohn ist die Familie nicht mehr von der Sozialhilfe abhängig. Angesichts dessen, dass mit dem Einkommen der Lebensunterhalt einer vierköpfigen Familie bestritten werden muss, ist indes weiterhin von der Bedürftigkeit des Beschwerdeführers auszugehen. Es sind somit keine Verfahrenskosten zu erheben.</w:t>
      </w:r>
    </w:p>
    <w:p>
      <w:r>
        <w:rPr>
          <w:b/>
        </w:rPr>
        <w:t>E. 12.2</w:t>
      </w:r>
    </w:p>
    <w:p>
      <w:r>
        <w:t>Mit Zwischenverfügung vom 11. Juni 2019 wurde das Gesuch um Beiordnung einer amtlichen Rechtsbeiständin gutgeheissen. Die Rechtsvertreterin des Beschwerdeführers reichte vier Honorarnoten mit einem verwendeten Stundenansatz von Fr. 200.- respektive Fr. 250.- ein. Das Bundesverwaltungsgericht geht bei amtlicher Vertretung in der Regel von einem Stundenansatz von Fr. 100.- bis Fr. 150.- für nichtanwaltliche Rechtsvertreter aus (vgl. Art. 12 i.V.m. Art. 10 Abs. 2 VGKE). Der Stundenansatz ist entsprechend zu kürzen, was einen Betrag von insgesamt Fr. 2'380.- (inkl. Auslagen) ergibt. Da der angegebene Aufwand für das vorliegende Beschwerdeverfahren und das Verfahren E-427/2018 der Ehefrau gilt, ist der Betrag hälftig den besagten Beschwerdeverfahren anzurechnen. MLaw Ninja Frey ist demnach für ihre Bemühungen zu Lasten des Gerichts ein amtliches Honorar von Fr. 1'190.-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