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E-4261/2023 vom 16. August 2023</w:t>
      </w:r>
    </w:p>
    <w:p>
      <w:r>
        <w:t>Bundesverwaltungsgericht, 2023-08-16, DE</w:t>
      </w:r>
    </w:p>
    <w:p>
      <w:r>
        <w:rPr>
          <w:b/>
        </w:rPr>
        <w:t xml:space="preserve">Quelle: </w:t>
      </w:r>
      <w:r>
        <w:t>https://mcp.opencaselaw.ch/entscheid/bvger_E-4261_2023</w:t>
      </w:r>
    </w:p>
    <w:p>
      <w:r>
        <w:t>FR: TAF E-4261/2023 du 16 août 2023</w:t>
      </w:r>
    </w:p>
    <w:p>
      <w:r>
        <w:t>IT: TAF E-4261/2023 del 16 agosto 2023</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fristgerecht eingereicht worden und der Beschwerdeführer ist zur Einreichung der Beschwerde legitimiert. Hinsicht- lich der Form ist zwar festzustellen, dass der Beschwerdeführer sich in sei- ner Rechtsmitteleingabe teilweise auf das Institut der Rechtsverzögerung bezieht. Es handelt sich aber um eine Laieneingabe, und es wird aus ihr hinreichend klar, dass er die Aufhebung der angefochtenen Verfügung be- gehrt und aus der Begründung (insbesondere Abschnitt 1) wird auch genü- gend klar, weshalb er sie als nicht rechtmässig erachtet. Damit erweist sich die Beschwerde auch als formgerecht (Art. 105 und Art. 108 Abs. 2 AsylG; Art. 48 Abs. 1 sowie Art. 52 Abs. 1 VwVG). Auf die Beschwerde ist einzutreten.</w:t>
      </w:r>
    </w:p>
    <w:p>
      <w:r>
        <w:rPr>
          <w:b/>
        </w:rPr>
        <w:t>E. 2</w:t>
      </w:r>
    </w:p>
    <w:p>
      <w:r>
        <w:t>Das Verfahren richtet sich nach dem VwVG, dem VGG und dem BGG, so- weit das AsylG nichts anderes bestimmt (Art. 37 VGG und Art. 6 AsylG).</w:t>
      </w:r>
    </w:p>
    <w:p>
      <w:r>
        <w:rPr>
          <w:b/>
        </w:rPr>
        <w:t>E. 3</w:t>
      </w:r>
    </w:p>
    <w:p>
      <w:r>
        <w:t>Die Kognition des Bundesverwaltungsgerichts und die zulässigen Rügen richten sich im Asylbereich nach Art. 106 Abs. 1 AsylG, im Bereich des Aus- länderrechts nach Art. 49 VwVG (vgl. BVGE 2014/26 E. 5).</w:t>
      </w:r>
    </w:p>
    <w:p>
      <w:r>
        <w:t>E-4261/2023 Seite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hält das SEM im We- sentlichen fest, dass eine Person in der Türkei nur einmal für eine Straftat verurteilt werde und sie grundsätzlich nicht mehr belangt werden könne, sobald eine Strafe verbüsst worden sei. An diesem Grundsatz vermöge auch ein allenfalls bestehendes Datenblatt nichts zu ändern. Ehemalige Strafgefangene und fichierte Personen würden jedoch häufig auch nach ihrer Strafverbüssung als verdächtig gelten und hätten daher oft behördli- che Massnahmen wie Überwachungen oder Schikanen zu gewärtigen. In Ausnahmefällen könne es vorkommen, dass ehemalige Strafgefan- gene oder Personen mit einem Datenblatt ernsthaften Nachteilen im Sinne des Art. 3 AsylG ausgesetzt seien. Das Ausmass von allenfalls</w:t>
      </w:r>
    </w:p>
    <w:p>
      <w:r>
        <w:t>E-4261/2023 Seite 6 zu befürchtenden behördlichen Massnahmen sei aber abhängig von verschiedenen Faktoren. Eine wesentliche Rolle würden dabei der Grund sowie der Zeitpunkt eines früheren Strafverfahrens, der Inhalt des über die Person angelegten Datenblatts, die behördliche Einschät- zung über ein aktuelles politisches Engagement der verdächtigen Per- son und das familiäre Umfeld spielen. Gemäss dem Urteil des 4. Gerichts für schwere Straftaten I._______ vom (…) 2006 sei der Beschwerdeführer wegen Mitgliedschaft bei der Terrororganisation PKK und der Belieferung der Organisation (…) zu einer Haftstrafe von (…) verurteilt worden. Es seien Materialien gefun- den worden, die gemäss dem Urteil für einen Anschlag der PKK in E._______ hätten verwendet werden sollen. Aufgrund der Beweislage habe es das Gericht in I._______ als erwiesen erachtet, dass er und (…) über den Inhalt und den Zweck der Warenlieferung informiert ge- wesen seien. Nachdem er von (…) 2005 bis (…) 2020 seine Haft ver- büsst habe, sei er gemäss den eingereichten Beweismitteln aufgrund guter Führung vorzeitig in den offenen Vollzug entlassen worden. Ge- stützt auf seine Aussagen sei nicht davon auszugehen, dass er gegen die Bewährungsauflagen verstossen habe oder erneut straffällig gewor- den sei. Am (…) 2021 sei die bedingte Haftentlassung mit einer Bewäh- rungsauflage von drei Jahren erfolgt. Auch gegen diese Bewährungs- auflagen habe er seinen Aussagen nach nicht verstossen. Es würden somit keine Hinweise vorliegen, wonach er bei einer Rückkehr in die Türkei aufgrund eines Vorwurfs wegen Verstössen gegen die Bewäh- rungsauflagen erneut festgenommen werden könnte und die restliche Zeit der gegen ihn ausgesprochenen Haftstrafe verbüssen müsse. Diese Annahme werde durch seine legale Ausreise mit seinem Reise- pass bestätigt. Auch seine Furcht, von den türkischen Behörden umgebracht zu wer- den, sei nicht begründet. Er habe angegeben, er sei vom Geheimdienst beobachtet worden, dies sei jedoch ohne Konsequenzen beziehungs- weise ohne Eröffnung eines neuen Strafverfahrens geblieben. Er sei zwar beobachtet, aber nie von den Männern angesprochen worden und es sei auch sonst nichts passiert, abgesehen von der einen Drohung gegenüber dem (…). Die Beobachtung durch die zwei Männer des Ge- heimdienstes gehe somit in ihrer Intensität nicht über die Nachteile hin- aus, welche Personen, die sich nach einer langen Haftstrafe in der so- genannten Überwachungszeit befänden, in ähnlicher Weise treffen könnten. Die Überwachung sei sodann auch nicht der eigentliche Grund</w:t>
      </w:r>
    </w:p>
    <w:p>
      <w:r>
        <w:t>E-4261/2023 Seite 7 für seine Ausreise gewesen, sondern das bevorstehende Ende seiner Tätigkeit auf (…). Dies lasse den Schluss zu, dass er sich nicht in einer akuten Gefährdungssituation befunden und seine Ausreise vorgängig geplant habe, welche primär aus wirtschaftlichen Gründen erfolgt sei. Auch sei nicht anzunehmen, dass er aufgrund seines familiären Um- felds mit beachtlicher Wahrscheinlichkeit und in absehbarer Zukunft Re- flexverfolgungsmassnahmen ernsthaften Ausmasses erleiden werde, zumal er nie aufgrund seiner Familie behördlichen Behelligungen aus- gesetzt gewesen sei. Ausserdem sei sein Vater freigesprochen worden und es sei nicht davon auszugehen, dass die Behörden aufgrund seines Vaters ein Interesse an ihm hätten. Für die detaillierte Begründung der angefochtenen Verfügung wird auf die Akten verwiesen.</w:t>
      </w:r>
    </w:p>
    <w:p>
      <w:r>
        <w:rPr>
          <w:b/>
        </w:rPr>
        <w:t>E. 6.2</w:t>
      </w:r>
    </w:p>
    <w:p>
      <w:r>
        <w:t>Der Beschwerdeführer wendet in der Beschwerde im Wesentlichen ein, er habe in der Türkei eine schwierige Zeit erlebt. Er sei in die Schweiz ge- kommen, um nicht den Rest seines Lebens mit der Angst vor dem türki- schen Staat leben zu müssen. Bei einer Rückkehr in die Türkei sei sein Leben in Gefahr.</w:t>
      </w:r>
    </w:p>
    <w:p>
      <w:r>
        <w:rPr>
          <w:b/>
        </w:rPr>
        <w:t>E. 7.1</w:t>
      </w:r>
    </w:p>
    <w:p>
      <w:r>
        <w:t>Das Gericht schliesst sich der Einschätzung des SEM an, wonach die Vorbringen des Beschwerdeführers flüchtlingsrechtlich nicht relevant sind. Um Wiederholungen zu vermeiden, kann vorab vollumfänglich auf die aus- führlichen und zutreffenden Erwägungen des SEM verwiesen werden. Dem Beschwerdeführer gelingt es in seiner Rechtsmitteleingabe offen- sichtlich nicht, der Verfügung des SEM Stichhaltiges entgegenzubringen.</w:t>
      </w:r>
    </w:p>
    <w:p>
      <w:r>
        <w:rPr>
          <w:b/>
        </w:rPr>
        <w:t>E. 7.2</w:t>
      </w:r>
    </w:p>
    <w:p>
      <w:r>
        <w:t>Ergänzend kann festgehalten werden, dass zwar nachvollziehbar ist, dass der Beschwerdeführer nach dem in der Türkei Erlebten und der lang- jährigen Haftstrafe in subjektiver Hinsicht eine gewisse Angst verspürt, in die Türkei zurückzukehren. Aus objektiver Sicht bestehen aber – wie vom SEM zutreffend und ausführlich aufgezeigt – keine hinreichend konkreten Anhaltspunkte dafür, dass er bei einer Rückkehr in seinen Heimatstaat mit der notwendigen hohen Wahrscheinlichkeit und in absehbarer Zeit ernst- hafte Nachteile zu befürchten hat, zumal er nach seiner Haftentlassung – abgesehen von der von ihm geltend gemachten Beobachtung durch den Geheimdienst – unbehelligt hat leben können. Die Einschätzung, dass der Beschwerdeführer nicht in flüchtlingsrechtlich relevantem Sinne im Fokus der türkischen Behörden steht, wird schliesslich entscheidend gestützt</w:t>
      </w:r>
    </w:p>
    <w:p>
      <w:r>
        <w:t>E-4261/2023 Seite 8 durch den Umstand, dass er problemlos einen authentischen Reisepass erhalten hat und seinen Heimatstaat damit legal verlassen konnte. Diese Umstände sind auch mit einer erheblichen subjektiven Furcht schlecht ver- einbar. Sollte der Beschwerdeführer sich fürchten, an seinen Herkunftsort zurückzukehren, steht es ihm ausserdem offen, sich an einem anderen Ort in der Türkei – beispielsweise bei seinen Söhnen in J._______ – niederzu- lassen.</w:t>
      </w:r>
    </w:p>
    <w:p>
      <w:r>
        <w:rPr>
          <w:b/>
        </w:rPr>
        <w:t>E. 7.3</w:t>
      </w:r>
    </w:p>
    <w:p>
      <w:r>
        <w:t>Zusammenfassend hat das SEM zu Recht die Flüchtlingseigenschaft des Beschwerdeführers verneint und entsprechend ebenfalls zu Recht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w:t>
      </w:r>
    </w:p>
    <w:p>
      <w:r>
        <w:t>E-4261/2023 Seite 9 Abkommens vom 28. Juli 1951 über die Rechtsstellung der Flüchtlinge [FK, SR 0.142.30]) verankerte Grundsatz der flüchtlingsrechtlichen Nichtrück- schiebung keine Anwendung. Sodann ergeben sich weder aus den Aussa- 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E- 1854/2023 Seite 15 konkrete Gefahr ("real risk") nachweisen oder glaub- haft machen, dass ihm im Fall einer Rückschiebung Folter oder unmensch- liche Behandlung drohen würde (vgl. Urteil des EGMR Saadi gegen Italien vom 28. Februar 2008, Grosse Kammer 37201/06, §§ 124–127 m.w.H.). Auch die allgemeine Menschenrechtssituation in der Türkei lässt den Weg- 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Ausgenommen sind die Provinzen Hakkari und Sirnak. Dorthin ist der Vollzug der Wegwei- sung aufgrund der gewaltsamen Auseinandersetzungen als generell nicht</w:t>
      </w:r>
    </w:p>
    <w:p>
      <w:r>
        <w:t>E-4261/2023 Seite 10 zumutbar zu qualifizieren (vgl. BVGE 2013/2 E. 9.6; Referenzurteil des BVGer E-1948/2018 vom 12. Juni 2018 E. 7.3.1).</w:t>
      </w:r>
    </w:p>
    <w:p>
      <w:r>
        <w:rPr>
          <w:b/>
        </w:rPr>
        <w:t>E. 9.3.3</w:t>
      </w:r>
    </w:p>
    <w:p>
      <w:r>
        <w:t>Das SEM führt in der ablehnenden Verfügung zutreffend aus, dass der Vollzug der Wegweisung des Beschwerdeführers in seine Her- kunftsprovinz D._______ unzumutbar sei. In Übereinstimmung mit dem SEM kommt aber auch das Gericht zum Schluss, dass er sich an einem anderen Ort in der Türkei niederlassen kann und ihm eine solche inner- staatliche Aufenthaltsalternative zuzumuten ist (für die massgebenden in- dividuellen Prüfkriterien vgl. Entscheidungen und Mitteilungen der Schwei- zerischen Asylrekurskommission [EMARK] 1996 Nr. 2 E. 6b; bestätigt etwa im Urteil des BVGer E-6538/2017 vom 16. Dezember 2019 E.8.3. m.w.H.). Der Beschwerdeführer ist gesund und in einem arbeitsfähigen Alter. Er ver- fügt über ein grosses Beziehungsnetz in der Türkei (A18, F13 ff.), welches ihn nötigenfalls dabei unterstützen kann, in einer anderen als seiner Her- kunftsprovinz Fuss zu fassen. Ausserdem leben zwei seiner Söhne, wie auch ein Bruder, in J._______. Es kann angenommen werden, dass ihm insbesondere eine Eingliederung in J._______ möglich sein wird. Der Be- schwerdeführer hat vor seiner Inhaftierung in verschiedenen Bereichen ge- arbeitet, nach der Haftentlassung (…) (A18, F11) und es ist ihm zuzumu- ten, wieder eine entsprechende Arbeit in J._______ – oder in einer anderen Provinz – aufzunehmen. Nach dem Gesagten erweist sich der Vollzug der Wegweisung in allgemei- ner wie auch in individueller Hinsicht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Antrag auf Gewährung der unentgeltlichen Rechtspflege im Sinne von Art. 65 Abs. 1 VwVG ist abzuweisen, da die Begehren – wie sich aus</w:t>
      </w:r>
    </w:p>
    <w:p>
      <w:r>
        <w:t>E-4261/2023 Seite 11 den vorstehenden Erwägungen ergibt – als aussichtlos zu bezeichnen wa- ren, womit die kumulativen Voraussetzungen von Art. 65 Abs. 1 VwVG nicht erfüllt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E-4261/2023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