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E-425/2011 vom 10. November 2011</w:t>
      </w:r>
    </w:p>
    <w:p>
      <w:r>
        <w:t>Bundesverwaltungsgericht, 2011-11-10, FR</w:t>
      </w:r>
    </w:p>
    <w:p>
      <w:r>
        <w:rPr>
          <w:b/>
        </w:rPr>
        <w:t xml:space="preserve">Quelle: </w:t>
      </w:r>
      <w:r>
        <w:t>https://mcp.opencaselaw.ch/entscheid/bvger_E-425_2011</w:t>
      </w:r>
    </w:p>
    <w:p>
      <w:r>
        <w:t>FR: TAF E-425/2011 du 10 novembre 2011</w:t>
      </w:r>
    </w:p>
    <w:p>
      <w:r>
        <w:t>IT: TAF E-425/2011 del 10 novembre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intéressés n'ont pas été en mesure d'établir la pertinence de leurs motifs.</w:t>
      </w:r>
    </w:p>
    <w:p>
      <w:r>
        <w:rPr>
          <w:b/>
        </w:rPr>
        <w:t>E. 3.2</w:t>
      </w:r>
    </w:p>
    <w:p>
      <w:r>
        <w:t>Au vu des éléments de preuve figurant au dossier (documents fonciers, décisions administratives, actes judiciaires, photographies), le Tribunal admet que le récit est, dans ses grandes lignes, conforme à la vérité. Il est ainsi établi que le recourant et sa famille exploitaient depuis longtemps une boulangerie à Vitina, et que celle-ci a été détruite par décision de la commune, en dépit des démarches entamées par l'intéressé et ses proches auprès de l'autorité judiciaire. Malgré les confusions qui marquent l'étendue et les limites des droits de propriétés au Kosovo, relevées par l'ODM, le Tribunal considère cependant comme plausible que la destruction du commerce exploité par A._______ ait trouvé son origine dans son appartenance à la communauté gorani, et non dans un simple litige foncier. En effet, il apparaît que la famille (...) détenait un droit d'usage, sinon de propriété en bonne et due forme, sur le terrain et le commerce en cause ; par ailleurs, la manière dont les autorités communales ont agi, en n'avertissant les intéressés que trois jours avant la destruction du magasin, puis en procédant à celle-ci avant même la fin de ce très court délai, au mépris d'une décision de justice, permet d'admettre qu'il ne s'agissait pas en l'occurrence, comme l'affirme l'ODM, d'un simple litige de propriété. Dès lors, dans le contexte kosovar, il est probable que ces mesures aient été inspirées par des motifs en rapport avec l'origine ethnique des recourants. Plaident dans le même sens les manoeuvres d'extorsion dont A._______ semble avoir été la victime depuis 2000, et ceci bien que les éléments de preuve produits soient très antérieurs à son départ ; en effet, il a été constaté en de nombreuses occasions que les organisations autonomistes albanaises se livraient à ce type d'actes de racket contre les membres des minorités ethniques du Kosovo. Le rapport provenant de la représentation diplomatique suisse, même s'il ne répond pas précisément aux questions posées par l'ODM, n'exclut pas non plus la possibilité d'un harcèlement ourdi par les autorités communales et motivé par des motifs ethniques, même s'il ne permet aucune conclusion claire.</w:t>
      </w:r>
    </w:p>
    <w:p>
      <w:r>
        <w:rPr>
          <w:b/>
        </w:rPr>
        <w:t>E. 3.3</w:t>
      </w:r>
    </w:p>
    <w:p>
      <w:r>
        <w:t>Les époux (...) n'ont cependant pas été menacés de manière pressante dans leur vie ou leur intégrité corporelle, les préjudices subis se limitant à des dommages matériels (la destruction du magasin) et à des marques d'animosité de la population (art. 3 al. 2 LAsi) ; il ne s'agit donc pas de préjudices directs, qu'on pourrait qualifier de graves au sens de la loi. Dans le cas d'espèce, il n'est certes pas exclu que les intéressés aient été les victimes d'une pression psychique insupportable, à savoir telle qu'elle aurait rendu quasi impossible la poursuite d'une vie conforme à la dignité humaine, si bien que la seule issue aurait été la fuite (cf. Jurisprudence et informations de la Commission suisse de recours en matière d'asile [JICRA] 1993 n°10 consid. 5e p. 65 ; 1996 n° 29 consid. 2h p. 282) ; leur état de santé tend à renforcer cette hypothèse. Vu ce qui suit, cette question toutefois peut rester indécise.</w:t>
      </w:r>
    </w:p>
    <w:p>
      <w:r>
        <w:rPr>
          <w:b/>
        </w:rPr>
        <w:t>E. 3.4</w:t>
      </w:r>
    </w:p>
    <w:p>
      <w:r>
        <w:t>En effet, pour plusieurs raisons, il n'apparaît pas que les événements traversés par les recourants ne leur aient laissé d'autre issue que la fuite, ni ne constituent une persécution au sens de la loi.</w:t>
      </w:r>
    </w:p>
    <w:p>
      <w:r>
        <w:rPr>
          <w:b/>
        </w:rPr>
        <w:t>E. 3.4.1</w:t>
      </w:r>
    </w:p>
    <w:p>
      <w:r>
        <w:t>En premier lieu, selon la jurisprudence du Tribunal, qui a repris sur ce point celle de l'ancienne Commission suisse de recours en matière d'asile (CRA), la Mission internationale des Nations Unies au Kosovo (MINUK, remplacée en avril 2009 par la mission EULEX) et la Force de maintien de la paix au Kosovo (KFOR) ont la volonté et la capacité de protéger les minorités ethniques au Kosovo et il n'existe aucune persécution systématique de celles-ci (cf. notamment arrêts D-6827/2010 du 2 mai 2011 et réf. citées, ainsi que JICRA 2002 n° 22 consid. 4d/aa p. 180). Cette jurisprudence reste d'actualité, même après la déclaration d'indépendance du Kosovo (cf. arrêts du Tribunal D-3685/2009 du 20 août 2009 p. 5 et 6, D-3694/2006 du 18 novembre 2008 consid. 3.2 p. 6 et D-4220/2008 du 24 octobre 2008 p. 5), les autorités du nouvel Etat ne renonçant pas à poursuivre les auteurs d'actes pénalement répréhensibles et offrant donc, en principe, une protection appropriée pour empêcher la perpétration d'actes illicites, quelle que soit l'appartenance ethnique des auteurs et des victimes de ces atteintes (cf. notamment UK Home Office, Operational Guidance Note : Kosovo, 22 juillet 2008, spéc. par. 3.11.10 à 3.11.12 et sources citées ; idem, Kosovo, octobre 2009, p. 16-17). Dès lors, il incombait aux intéressés de saisir les instances internationales en charge de l'ordre public au Kosovo, ce qu'ils n'apparaissent ne pas avoir fait ; il n'en ont en tout cas déposé aucune preuve. De même, il ressort de leur récit que le Tribunal de Vitina avait donné suite à leur demande de suspension, et qu'une plainte déposée par le recourant, semble-t-il contre la commune, est toujours en suspens devant cette instance ; les intéressés ne peuvent donc prétendre qu'ils étaient démunis de tout moyen de défense contre l'acte d'arbitraire qui les a frappés. On ne peut dès lors parler, dans le cas particulier, d'une persécution menée par l'entier de l'appareil d'Etat ou avec sa connivence, le cas échéant par des tiers bénéficiant de sa tolérance (cf. JICRA 2006 n° 18 consid.10.2-10.3, p. 202-204). Le Tribunal ne peut tirer aucune conclusion du statut de réfugié reconnu à l'oncle du recourant par les autorités françaises, les motifs de cette décision étant inconnus ; il incombait, le cas échéant, à l'intéressé de les faire valoir.</w:t>
      </w:r>
    </w:p>
    <w:p>
      <w:r>
        <w:rPr>
          <w:b/>
        </w:rPr>
        <w:t>E. 3.4.2</w:t>
      </w:r>
    </w:p>
    <w:p>
      <w:r>
        <w:t>Par ailleurs, il apparaît que les problèmes rencontrés par les recourants se sont limités à la localité de Vitina. Ils n'ont pas rencontré de difficultés lors de leur séjour à (...), dans la commune de Dragash, d'ailleurs peuplée par un grand nombre de Goranis ; comme ils l'ont affirmé et l'a confirmé le rapport d'ambassade, plusieurs proches de l'époux y résident depuis leur départ de Vitina. La jurisprudence a admis que les musulmans slaves du Kosovo, en particulier les Goranis, ne couraient pas de risques dans les circonscriptions de Dragash, Prizren, Gjakove et Pej (JICRA 2002 n° 22 p. 177ss, arrêts du Tribunal D-6827/2010 et réf. citées). Cette jurisprudence est toujours d'actualité, la situation des musulmans serbophones s'étant même améliorée depuis lors, au point que ce constat est dorénavant valable dans son principe sur tout le territoire du Kosovo, à l'exception de la région de Mitrovica. In casu, les recourants viennent de la commune de Dragash, où ils ont vécu avant leur départ et ont toujours leurs racines. Selon les informations dont dispose le Tribunal (cf. notamment Kosovo Communities profiles, Organization for Security and Cooperation in Europe [OSCE], Mission in Kosovo, 02/2011), la municipalité de Dragash est constituée d'une majorité d'Albanais, avec une très forte minorité de Goranis.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Concernant plus particulièrement la ville de Dragash, les Goranis de retour au pays peuvent bénéficier d'une aide à la reconstruction d'habitations, de l'aide sociale et d'une aide alimentaire. Ces aides sont notamment fournies par des organisations internationales, comme le Programme des Nations Unies pour le développement (UNDP) et le Haut Commissariat des Nations Unies pour les réfugiés (UNHCR). Dans ces conditions, le Tribunal considère donc que la région de Dragash remplit les conditions strictes mises par la jurisprudence à la reconnaissance d'une alternative de refuge interne (JICRA 1996 n° 1 p. 1ss) : en effet, les intéressés y seraient non seulement totalement à l'abri des persécutions, directes ou indirectes, pouvant les menacer à Vitina ou dans les autres régions du Kosovo, mais n'y risqueraient pas d'y être renvoyés. De plus, ils ne courraient pas, sur ce lieu de refuge, un risque de persécution d'origine cette fois locale, ou de pressions de nature à leur rendre la vie quotidienne si difficile qu'ils ne pourraient résider dans la région de manière durable (ibidem consid. 5c p. 6-7 ; cf. également MARIO GATTIKER, La procédure d'asile et de renvoi, 3e éd., Berne 1999, p. 70-71 ; OSAR, Manuel de la procédure d'asile et de renvoi, Berne 2009, p. 189-191). Comme on le verra plus bas, la question du refuge interne doit être distinguée de celle de l'exécution du renvoi : en effet, il est concevable qu'une telle mesure ne puisse s'effectuer en direction du lieu de refuge théorique ainsi déterminé, dans le cas où les conditions de vie qui règnent dans ce lieu rendraient cette exécution illicite, non raisonnablement exigible ou impossible dans le cas particulier.</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6.2</w:t>
      </w:r>
    </w:p>
    <w:p>
      <w:r>
        <w:t>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en revanche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(JICRA 2003 n° 24 consid. 5b p. 157s.). A ce sujet, le Tribunal constate que les troubles de santé touchant les recourants sont suffisamment documentés et qu'aucune instruction complémentaire n'est nécessaire ; les griefs articulés par les intéressés sur ce point sont donc sans pertinence.</w:t>
      </w:r>
    </w:p>
    <w:p>
      <w:r>
        <w:rPr>
          <w:b/>
        </w:rPr>
        <w:t>E. 6.3</w:t>
      </w:r>
    </w:p>
    <w:p>
      <w:r>
        <w:t>Le système de santé publique du Kosovo étant toujours en phase de reconstruction depuis la fin de la guerre, son niveau laisse encore à désirer.</w:t>
      </w:r>
    </w:p>
    <w:p>
      <w:r>
        <w:rPr>
          <w:b/>
        </w:rPr>
        <w:t>E. 6.3.1</w:t>
      </w:r>
    </w:p>
    <w:p>
      <w:r>
        <w:t>Selon les informations à disposition du Tribunal (cf. notamment OSAR, Kosovo : Etat des soins de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Seuls certains médicaments de base sont distribués gratuitement. La commune de Dragash, d'où sont originaires les recourants, propose la gratuité des soins médicaux à certains groupes de personnes, comme les bénéficiaires de l'aide sociale. La ville dispose par ailleurs d'un centre médical susceptible d'intervenir en cas d'urgence médicale, par l'envoi d'une ambulance notamment (cf. à ce propos Kosovo Communities profiles, Organization for Security and Cooperation in Europe [OSCE], Mission in Kosovo, Kosovo Gorani, 02/2011, p. 11s.). Concernant l'accès aux soins médicaux, les membres des groupes minoritaires gorani et bosniaque ne connaissent en principe pas de problèmes particuliers. Il arrive certes que le personnel albanais montre une certaine réticence à leur venir en aide, comme cela peut se produire avec d'autres minorités. Néanmoins, les améliorations dans ce domaine sont constantes (cf. Kosovo : Etat des soins de santé [mise à jour], op. cit. p. 18).</w:t>
      </w:r>
    </w:p>
    <w:p>
      <w:r>
        <w:rPr>
          <w:b/>
        </w:rPr>
        <w:t>E. 6.3.2</w:t>
      </w:r>
    </w:p>
    <w:p>
      <w:r>
        <w:t>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Prizren. En outre, certains hôpitaux généraux disposent d'espaces réservés à la neuropsychiatrie pour le traitement des cas de psychiatrie aiguë, ce qui est le cas également à Prizren. Finalement, grâce à la coopération internationale, de nouvelles structures appelées "Maisons de l'intégration" ont vu le jour dans certaines villes, dont Prizren. Ces établissements peuvent loger des personnes atteintes de troubles mineurs de la santé mentale dans des appartements protégés et leur proposer un soutien thérapeutique et socio-psychologique (cf. Kosovo : Etat des soins de santé [mise à jour], op. cit. p. 12ss).</w:t>
      </w:r>
    </w:p>
    <w:p>
      <w:r>
        <w:rPr>
          <w:b/>
        </w:rPr>
        <w:t>E. 6.4</w:t>
      </w:r>
    </w:p>
    <w:p>
      <w:r>
        <w:t>Dans ce contexte, il n'est pas du tout assuré que les intéressés seront en mesure de recevoir le traitement nécessaire. En effet, si la fourniture de médicaments ne devrait pas poser de problèmes insurmontables, il ressort des différents rapports médicaux déposés que les deux époux ont besoin d'une prise en charge psychothérapeutique intensive et d'un suivi constant, vu la gravité des troubles qu'ils manifestent (une nouvelle hospitalisation de l'épouse reste envisagée) ; leur état ayant tendance à s'aggraver, la nécessité de cette assistance ne pourra qu'augmenter, et ceci à court terme. Comme on l'a vu, l'état des ressources de la médecine psychique au Kosovo est encore rudimentaire, une prise en charge complète n'étant à la rigueur possible qu'à l'hôpital universitaire de Pristina (clinique neuropsychiatrique), mais dans une mesure que les possibilités pratiques rendent très limitée, et d'un accès difficile (cf. OSAR, Kosovo-Etat des soins de santé, juin 2007). Il est dès lors très improbable que les recourants aient accès aux soins indispensables, en tout cas rapidement, ce d'autant plus qu'ils seraient en pratique contraints de s'installer à (...), et continueraient à assumer la charge de leurs enfants. La question en se limite cependant pas à la disponibilité d'une éventuelle prise en charge : selon les thérapeutes en charge des époux (...), qui ont insisté sur ce point (cf. avant tout le rapport du 16 juin 2011), il existe un risque grave et pressant pour la survie même des intéressés en cas de retour au Kosovo. Dans une telle hypothèse, il y aurait en effet un danger aigu de réactivation des traumatismes subis dans la passé, qui pourrait, avec une grande probabilité, entraîner chez tous deux une réaction suicidaire. Le Tribunal ne peut écarter sans raisons solides les avertissements réitérés des praticiens en charge des recourants, particulièrement de l'épouse, qui mettent en lumière les risques très sérieux, voire vitaux, qu'entraînerait l'exécution du renvoi. Dès lors, vu ces carences des infrastructures médicales, un risque grave et sérieux de dégradation de l'état psychique des intéressés existe dans l'hypothèse d'un retour au Kosovo. A cela s'ajoute que leurs perspectives de réinsertion professionnelle sont mauvaises, le mari ayant perdu le commerce qui le faisait vivre, et l'aide de ses proches restés à (...) ne pouvant guère suppléer à cette perte de revenu ; les époux ne seraient donc pas non plus en mesure d'assumer les frais d'un éventuel traitement.</w:t>
      </w:r>
    </w:p>
    <w:p>
      <w:r>
        <w:rPr>
          <w:b/>
        </w:rPr>
        <w:t>E. 6.5</w:t>
      </w:r>
    </w:p>
    <w:p>
      <w:r>
        <w:t>Dans ce contexte, l'exécution du renvoi doit donc être considérée comme inexigible. Dès lors, au vu de la conjugaison de facteurs défavorables affectant les intéressés et leurs enfants, il y a lieu de prononcer leur admission provisoire ; celle-ci, en principe d'une durée d'un an (art. 85 al. 1 LEtr), renouvelable si nécessaire, apparaît mieux à même d'écarter les risques sérieux qu'ils courent actuellement en cas de retour.</w:t>
      </w:r>
    </w:p>
    <w:p>
      <w:r>
        <w:rPr>
          <w:b/>
        </w:rPr>
        <w:t>E. 7.1</w:t>
      </w:r>
    </w:p>
    <w:p>
      <w:r>
        <w:t>En conséquence, le recours doit être admis, en tant qu'il conclut au prononcé de l'admission provisoire, et la décision attaquée annulée sur ce point. L'autorité de première instance est donc invitée à prononcer l'admission provisoire des la recourants et de leurs enfants.</w:t>
      </w:r>
    </w:p>
    <w:p>
      <w:r>
        <w:rPr>
          <w:b/>
        </w:rPr>
        <w:t>E. 8.1</w:t>
      </w:r>
    </w:p>
    <w:p>
      <w:r>
        <w:t>L'assistance judiciaire partielle ayant été accordée, il n'est pas perçu de frais (art.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le Tribunal ne voit pas de raison de revenir sur sa décision du 20 janvier 2011 et d'accorder aux recourants le bénéfice de l'assistance judiciaire totale, dans la mesure où l'intervention d'un mandataire d'office ne paraît pas plus indispensable qu'alors. Dès lors, il fixe le montant de l'indemnité, sur la base de la note de frais du 11 octobre 2011 (art. 14 al. 2 du règlement du 11 décembre 2006 concernant les frais, dépens et indemnités fixés par le Tribunal administratif fédéral [FITAF, RS 173.320.2]), à la somme de Fr. 5624,70 (frais postérieurs au dépôt du recours). L'admission du recours étant partielle, les dépens sont arrêtés à la moitié de cette somme, soit Fr. 2812,35.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