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E-4258/2019 vom 12. September 2019</w:t>
      </w:r>
    </w:p>
    <w:p>
      <w:r>
        <w:t>Bundesverwaltungsgericht, 2019-09-12, DE</w:t>
      </w:r>
    </w:p>
    <w:p>
      <w:r>
        <w:rPr>
          <w:b/>
        </w:rPr>
        <w:t xml:space="preserve">Quelle: </w:t>
      </w:r>
      <w:r>
        <w:t>https://mcp.opencaselaw.ch/entscheid/bvger_E-4258_2019</w:t>
      </w:r>
    </w:p>
    <w:p>
      <w:r>
        <w:t>FR: TAF E-4258/2019 du 12 septembre 2019</w:t>
      </w:r>
    </w:p>
    <w:p>
      <w:r>
        <w:t>IT: TAF E-4258/2019 del 12 settembre 2019</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(Art. 111b aAbs.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w:t>
      </w:r>
    </w:p>
    <w:p>
      <w:r>
        <w:rPr>
          <w:b/>
        </w:rPr>
        <w:t>E. 5.1</w:t>
      </w:r>
    </w:p>
    <w:p>
      <w:r>
        <w:t>Vorweg ist die Rüge der unvollständigen Sachverhaltsfeststellung zu prüfen, da ein allenfalls ungenügend abgeklärter Sachverhalt eine materielle Behandlung verunmöglichen würde. Gemäss Art. 12 VwVG stellt die Behörde den Sachverhalt von Amtes wegen fest und bedient sich nötigenfalls der gesetzlichen Beweismittel. Unrichtig ist die Sachverhaltsfeststellung, wenn der Verfügung ein falscher oder aktenwidriger Sachverhalt zugrunde gelegt wird oder Beweise falsch gewürdigt worden sind. Die Sachverhaltsdarstellung ist demgegenüber unvollständig, wenn nicht alle für den Entscheid rechtswesentlichen Sachumstände berücksichtigt werden (vgl. Kölz/Häner/Bertschi, Verwaltungsverfahren und Verwaltungsrechtspflege des Bundes, 3. Aufl. 2013, Rz. 630).</w:t>
      </w:r>
    </w:p>
    <w:p>
      <w:r>
        <w:rPr>
          <w:b/>
        </w:rPr>
        <w:t>E. 5.2</w:t>
      </w:r>
    </w:p>
    <w:p>
      <w:r>
        <w:t>In seiner Verfügung hielt das SEM fest, dass die Mutter und der Bruder des Beschwerdeführers untergetaucht seien. Es sei aufgrund der Botschaftsabklärung vom 10. April 2019 offensichtlich, dass die wirren und schlecht nachvollziehbaren Angaben der Familie bezüglich des Aufenthaltsorts seiner Mutter in den letzten Jahren nicht korrekt seien. Weil die einzelnen Familienangehörigen auch behaupten würden, den Beschwerdeführer nicht zu kennen, sei keine ausdrückliche Bereitschaft vorhanden, diesen nach seiner Rückkehr aus der Schweiz aufzunehmen und für ihn zu sorgen. Es bleibe somit zu prüfen, ob die Möglichkeit einer Fremdplatzierung in einer Institution für Kinder bestehe. Diesbezüglich seien im Rahmen einer Botschaftsabklärung beim «Department for Probation and Child Care Services of the Northern Provincial Council» Informationen eingeholt worden. Ferner habe das SEM eine Güterabwägung hinsichtlich der Einwände des Beschwerdeführers, welche er am 15. Juli 2019 im Rahmen der Gewährung des rechtlichen Gehörs unterbreitet habe, vorgenommen. Dabei sei das SEM zum Schluss gekommen, dass es im vorliegenden Fall um eine reine Sorgerechtsfrage gehe, welche nichts mit dem schweizerischen Asylrecht zu tun habe. Die Erfüllung der Unterhaltspflicht gegenüber sri-lankischen Minderjährigen könne grundsätzlich nicht einem Drittstaat wie die Schweiz obliegen - weder unter Berufung auf die Kinderrechtskonvention (KRK, Übereinkommen über die Rechte des Kindes, SR 0.107) noch auf das AsylG.</w:t>
      </w:r>
    </w:p>
    <w:p>
      <w:r>
        <w:rPr>
          <w:b/>
        </w:rPr>
        <w:t>E. 5.3</w:t>
      </w:r>
    </w:p>
    <w:p>
      <w:r>
        <w:t>Auf Beschwerdeebene wird hierzu gerügt, dass nach geltender Praxis die Vorinstanz hinsichtlich eines Vollzugs einer Wegweisung eines minderjährigen Beschwerdeführers verpflichtet sei, spezifische Abklärungen der persönlichen Situation unter dem Blickwinkel des Kindeswohls vorzunehmen. Vor der Ausschaffung habe die zuständige Behörde gemäss Art. 69 Abs. 4 AIG sicherzustellen, dass die minderjährige Person einem Familienmitglied, einem Vormund oder einer Aufnahmeeinrichtung übergeben werden könne, welchen den Schutz des Kindes gewährleiste (vgl. BVGE 2015/30 E. 7.3 und Urteil des BVGer E-6621/2012 vom 28. Januar 2013 E. 4.3.4). Es sei im vorliegenden Fall nicht ersichtlich, weshalb die Vorin-stanz die sogenannte Sorgerechtsfrage beziehungsweise die Unterhaltsfrage als Entscheidungsgrundlage nehme, ohne dabei spezifische Abklärungen vorzunehmen, ob die angedachten Institutionen auch tatsächlich dem Kindeswohl entsprechen würden.</w:t>
      </w:r>
    </w:p>
    <w:p>
      <w:r>
        <w:rPr>
          <w:b/>
        </w:rPr>
        <w:t>E. 5.4</w:t>
      </w:r>
    </w:p>
    <w:p>
      <w:r>
        <w:t>Beim Beschwerdeführer handelt es sich unbestrittenermassen um einen unbegleiteten Minderjährigen. Daher ist nachfolgend die einschlägige Rechtsprechung im Zusammenhang mit der Anordnung des Wegweisungsvollzugs von unbegleiteten Minderjährigen heranzuziehen. Danach ist die Vorinstanz von Amtes wegen verpflichtet, das Kindeswohl zu berücksichtigen, zumal Kinder nicht ohne guten Grund aus einem vertrauten Umfeld herausgerissen werden sollten (vgl. BVGE 2015/30 E. 7.2 und 2009/51 E. 5.6). Weiter sind bei einer allfälligen Rückkehr ins Heimatland spezifische Abklärungen der persönlichen Situation unter dem Blickwinkel des Kindeswohls vorzunehmen (vgl. EMARK 2006 Nr. 24 E. 6.2.4 und 1998 Nr. 13 E. 5.e). Die zuständige Behörde hat gemäss Art. 69 Abs. 4 AIG vor einer Ausschaffung von unbegleiteten minderjährigen Personen sicherzustellen, dass diese im Rückkehrstaat einem Familienmitglied, einem Vormund oder einer Aufnahmeeinrichtung übergeben werden können, welche den Schutz des Kindes gewährleisten. Das SEM darf sich keinesfalls darauf beschränken, pauschal auf das grundsätzliche Vorliegen entsprechender sozialer Institutionen in Sri Lanka zu verweisen (vgl. BVGE 2015/30 E. 7.3). Weil vorliegend weder Familienmitglieder noch ein Vormund vorhanden sind, hat das SEM nach dem Gesagten die Pflicht, von Amtes wegen konkret abzuklären, in welche Institution in Sri Lanka der Beschwerdeführer zurückgeführt werden kann. Es reicht folglich nicht aus - wie in der angefochtenen Verfügung - nur das Verfahren einer möglichen Fremdplatzierung in Sri Lanka zu umschreiben. Vor Erlass einer wegweisenden Verfügung der Vorinstanz muss von dieser im Rahmen konkreter Abklärungen auch Übernahmezusicherungen der geeigneten Institutionen eingeholt werden, damit sie einer gerichtlichen Überprüfung offenstehen können. Solche Sachverhaltselemente sind Voraussetzung und Teil der anfechtbaren Verfügung, und stellen nicht etwa von der Rechtsmittelinstanz nicht mehr überprüfbare Vollzugsmodalitäten dar (vgl. BVGE 2015/30 E. 7.3 m.w.H.).</w:t>
      </w:r>
    </w:p>
    <w:p>
      <w:r>
        <w:rPr>
          <w:b/>
        </w:rPr>
        <w:t>E. 5.5</w:t>
      </w:r>
    </w:p>
    <w:p>
      <w:r>
        <w:t>Zusammenfassend ist festzustellen, dass die Vorinstanz in Verletzung von Art. 12 in Verbindung mit Art. 49 Abs. b VwVG den Sachverhalt unvollständig erstellt hat. Abklärungsbedürftig ist unter dem Aspekt des Kindswohls (Art. 3 Abs. 1 KRK) sowohl die heutigen persönliche Lage des Beschwerdeführers in der Schweiz als auch bei einer allfälligen Rückführung nach Sri Lanka die Situation betreffend konkreter und kindgerechter Unterbringungsmöglichkeiten vor Ort.</w:t>
      </w:r>
    </w:p>
    <w:p>
      <w:r>
        <w:rPr>
          <w:b/>
        </w:rPr>
        <w:t>E. 6.1</w:t>
      </w:r>
    </w:p>
    <w:p>
      <w:r>
        <w:t>Gemäss Art. 61 Abs. 1 VwVG entscheidet das Bundesverwaltungsgericht in der Sache selbst oder weist diese ausnahmsweise mit verbindlichen Weisungen an die Vorinstanz zurück. Eine Kassation und Rückweisung der Sache an die Vorinstanz ist insbesondere dann gerechtfertigt, wenn weitere Tatsachen festgestellt werden müssen sowie ein umfassendes Beweisverfahren durchgeführt werden muss. Die in diesen Fällen fehlende Entscheidreife kann grundsätzlich zwar auch durch die Beschwerdeinstanz selbst hergestellt werden, wenn dies im Einzelfall aus prozessökonomischen Gründen angebracht erscheint (vgl. BVGE 2012/21 E. 5); sie muss dies aber nicht. Vorliegend ist aufgrund des Gesagten keinesfalls von einer bestehenden oder leicht herstellbaren Entscheidungsreife auszugehen. Ausserdem soll das Gericht grundsätzlich nicht anstelle der verfügenden Verwaltungsbehörde die Grundlagen des rechtserheblichen Sachverhalts erstellen, weil die beschwerdeführende Partei bei diesem Vorgehen eine Instanz verlöre. Mit Blick auf die Gesamtlage erscheint folglich eine Kassation mithin als angezeigt.</w:t>
      </w:r>
    </w:p>
    <w:p>
      <w:r>
        <w:rPr>
          <w:b/>
        </w:rPr>
        <w:t>E. 6.2</w:t>
      </w:r>
    </w:p>
    <w:p>
      <w:r>
        <w:t>Demnach ist die Beschwerde gutzuheissen, die angefochtene Verfügung vom 22. Juli 2019 aufzuheben und die Sache in Anwendung von Art. 61 Abs. 1 VwVG zur vollständigen und richtigen Sachverhaltsermittlung und Neubeurteilung im Sinne der Erwägungen an das SEM zurückzuweisen. Auf die weiteren Vorbringen in der Rechtsmitteleingabe ist aufgrund der vorliegenden Kassation zum heutigen Zeitpunkt nicht näher einzugehen.</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zu den Akten gereicht, weshalb die notwendigen Parteikosten aufgrund der Akten zu bestimmen sind (Art. 14 Abs. 2 in fine VGKE). Die von der Vorinstanz auszurichtende Parteientschädigung wird in Anwendung der genannten Bestimmungen und unter Berücksichtigung der massgeblichen Bemessungsfaktoren demnach von Amtes wegen auf insgesamt Fr. 550.- (inkl. Auslagen) festgelegt.</w:t>
      </w:r>
    </w:p>
    <w:p>
      <w:r>
        <w:rPr>
          <w:b/>
        </w:rPr>
        <w:t>E. 7.3</w:t>
      </w:r>
    </w:p>
    <w:p>
      <w:r>
        <w:t>Die Anträge um Gewährung der unentgeltlichen Rechtspflege und um Verzicht auf die Erhebung eines Kostenvorschusses ist mit diesem Ausgang des Verfahrens hinfällig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