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E-4258/2018 vom 14. Dezember 2020</w:t>
      </w:r>
    </w:p>
    <w:p>
      <w:r>
        <w:t>Bundesverwaltungsgericht, 2020-12-14, DE</w:t>
      </w:r>
    </w:p>
    <w:p>
      <w:r>
        <w:rPr>
          <w:b/>
        </w:rPr>
        <w:t xml:space="preserve">Quelle: </w:t>
      </w:r>
      <w:r>
        <w:t>https://mcp.opencaselaw.ch/entscheid/bvger_E-4258_2018</w:t>
      </w:r>
    </w:p>
    <w:p>
      <w:r>
        <w:t>FR: TAF E-4258/2018 du 14 décembre 2020</w:t>
      </w:r>
    </w:p>
    <w:p>
      <w:r>
        <w:t>IT: TAF E-4258/2018 del 14 dicembre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Flüchtlingen wird nach Art. 54 AsylG kein Asyl gewährt, wenn sie erst durch ihre Ausreise aus dem Heimat- oder Herkunftsstaat oder wegen ihres Verhaltens nach der Ausreise Flüchtlinge im Sinne von Art. 3 AsylG wurden (subjektive Nachfluchtgründe).</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6.1</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wird in der Verfügung ausgeführt, die Vorbringen des Beschwerdeführers betreffend sein Engagement für die LTTE, die anschliessenden Lageraufenthalte sowie die (...) seien allesamt unglaubhaft. Die Schilderungen seien einerseits bereits in sich unstimmig und anderseits anlässlich der Erstbefragung, der Anhörung sowie der ergänzenden Anhörung häufig nicht übereinstimmend ausgefallen. Namentlich würde er Geschehensabläufe und Ereignisse unterschiedlich darstellen und könne teilweise zu zentralen Sachverhaltselementen keine Angaben machen. Sodann bestehe mit Blick auf mögliche Risikofaktoren kein begründeter Anlass zur Annahme, er wäre bei einer Rückkehr nach Sri Lanka mit beachtlicher Wahrscheinlichkeit und in absehbarer Zukunft flüchtlingsrechtlich relevanten Verfolgungsmassnahmen ausgesetzt.</w:t>
      </w:r>
    </w:p>
    <w:p>
      <w:r>
        <w:rPr>
          <w:b/>
        </w:rPr>
        <w:t>E. 6.2</w:t>
      </w:r>
    </w:p>
    <w:p>
      <w:r>
        <w:t>In der Rechtsmitteleingabe macht der Beschwerdeführer im Wesentlichen geltend, er habe Mühe sich an Vergangenes zu erinnern, was eventuell auch erkläre, weshalb er an den verschiedenen Befragungen viele Dinge unterschiedlich geschildert habe. Leider könne er sich an die vielen kleinen Details, welche ihm die Vorinstanz vorhalte, nicht genau erinnern. In Bezug auf die (...) habe die Vorinstanz nicht verstanden, dass diese in verschiedenen Etappen stattgefunden habe und er diesbezüglich nicht über alles informiert gewesen sei. Sodann sei bei der Einschätzung der Glaubhaftigkeit seiner Vorbringen sein psychischer Zustand zu berücksichtigen. Er sei vergesslich und verwirrt und habe anlässlich der Interviews, vor denen er viel Respekt gehabt habe, nicht alles chronologisch erzählen können. Wegen seiner Tätigkeit für die LTTE sei er gefoltert und wegen der (...) verfolgt worden. Ferner seien Kollegen von ihm getötet oder entführt worden. Sodann sei er bereits inhaftiert worden und habe das Land illegal verlassen müssen, weshalb er sich im Falle einer Rückkehr vor einer unmittelbaren Verhaftung am Flughafen fürchte. Er sei deshalb als Flüchtling zu anerkennen und es sei ihm Asyl zu gewähren.</w:t>
      </w:r>
    </w:p>
    <w:p>
      <w:r>
        <w:rPr>
          <w:b/>
        </w:rPr>
        <w:t>E. 7.1</w:t>
      </w:r>
    </w:p>
    <w:p>
      <w:r>
        <w:t>Der Vorinstanz ist darin beizupflichten, dass es dem Beschwerdeführer im Rahmen der drei durchgeführten Befragungen zu seinen Fluchtgründen nicht gelang, ein stimmiges und kohärentes Bild der von ihm vorgebrachten Ereignisse zu zeichnen. Namentlich konnte er die Geschehensabläufe zeitlich nicht richtig einordnen und widersprach sich unzählige Male sowohl anlässlich der einzelnen Befragungen als auch in Bezug auf die anderen Anhörungen. Die daraus entstandenen unauflösbaren Widersprüche führten unter anderem dazu, dass er sich teilweise nicht mehr an die Gründe seines Handelns erinnern will (zum Beispiel, weshalb er sich nicht mehr an die behördliche Meldepflicht gehalten habe beziehungsweise weshalb er gesucht worden sein soll; vgl. SEM-Akten A30/17 F115 ff.). Die zentralen Unstimmigkeiten seiner Fluchtvorbringen wurden im angefochtenen Entscheid bereits eingehend dargelegt, weshalb - um Wiederholungen zu vermeiden - auf die diesbezüglichen Erwägungen verwiesen werden kann. In der Rechtsmitteleingabe wird in diesem Zusammenhang nichts vorgebracht, was die zahlreichen Widersprüche und Unstimmigkeiten auflösen beziehungsweise erklären könnte. Insbesondere vermag der Beschwerdeführer aus den Hinweisen, die (...) habe in mehreren Etappen stattgefunden und er habe Mühe, sich an Dinge zu erinnern, nichts zu seinen Gunsten abzuleiten. Die auf Beschwerdeebene geltend gemachte Traumatisierung vermag für sich alleine nicht die Annahme zu begründen, er sei grundsätzlich nicht in der Lage gewesen, sich anlässlich der Befragungen kohärent zu äussern. Soweit er in der Beschwerde vorbringt, er habe sich aus Angst, wegen der (...) verfolgt zu werden, nicht mehr bei den Behörden gemeldet, setzt er sich ein weiteres Mal in Wiederspruch zu seinen früheren Angaben (vgl. SEM-Akten A30/17 F112 ff. sowie A21/24 F134 und F144). Aufgrund der zahlreichen festgestellten Widersprüche ist das nachgereichte Schreiben, in welchem von einem Dritten die Vorbringen des Beschwerdeführers betreffend die (...) teilweise bestätigt werden, als Gefälligkeitsschreiben zu qualifizieren. Zudem fällt auf, dass der Beschwerdeführer - entgegen dem Schreiben - nicht geltend machte, er sei wegen der (...) verhört worden (vgl. SEM-Akten A21/24 F185 ff. sowie F224 ff.). Die dem Schreiben beigelegten behördlichen Dokumente, welche keine Sicherheitsmerkmale aufweisen, vermöchten höchstens die Inhaftierung einer Drittperson darzulegen, jedoch für sich genommen keine direkte Verbindung zur geltend gemachten Verfolgungssituation des Beschwerdeführers herzustellen. Aus den diesbezüglichen Unterlagen vermag der Beschwerdeführer im Ergebnis somit ebenfalls nichts zu seinen Gunsten abzuleiten. Aufgrund des Ausgeführten ist mit der Vorinstanz darin übereinzugehen, dass der Beschwerdeführer die vorgebrachten Aktivitäten für die LTTE, die Schilderung seines anschliessenden Camp-Aufenthaltes sowie die Ereignisse rund um die geltend gemachte (...) nicht hat glaubhaft darlegen können.</w:t>
      </w:r>
    </w:p>
    <w:p>
      <w:r>
        <w:rPr>
          <w:b/>
        </w:rPr>
        <w:t>E. 7.2</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Aufgrund des bereits Ausgeführten sowie der Tatsache, dass der Beschwerdeführer mit den nachgereichten Fotos einer Demonstrationsteilnahme kein beachtliches exilpolitisches Profil darlegen kann, ist nicht vom Vorhandensein relevanter Risikofaktoren im Sinne der zitierten Rechtsprechung auszugehen.</w:t>
      </w:r>
    </w:p>
    <w:p>
      <w:r>
        <w:rPr>
          <w:b/>
        </w:rPr>
        <w:t>E. 7.3</w:t>
      </w:r>
    </w:p>
    <w:p>
      <w:r>
        <w:t>Zusammenfassend ist festzuhalten, dass die Vorinstanz die Flüchtlingseigenschaft des Beschwerdeführers zu Recht verneint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Aussagen des Beschwerdeführers noch aufgrund der übrigen Akten ergeben sich Anhaltspunkte dafür, dass er für den Fall einer Ausschaffung nach Sri Lanka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des BVGer D-3619/2016 vom 16. Oktober 2017 E. 9.5). Die auf Beschwerdeebene geltend gemachten psychischen Probleme des Beschwerdeführers sind auch in seinem Heimatland behandelbar. Auf die Authentizität der betreffenden Unterlagen muss deshalb nicht vertieft eingegangen werden. Aufgrund seines in Sri Lanka vorhanden Beziehungsnetzes sowie seiner dort gesammelten Erfahrung als Erwerbstätiger (vgl. A18/23 F49 ff. sowie F117) ist davon auszugehen, dass ihm die soziale sowie wirtschaftliche Wiedereingliederung im Heimatland gelingen wird. Der Wegweisungsvollzug erweist sich somit auch in individueller Hinsicht als zumutbar.</w:t>
      </w:r>
    </w:p>
    <w:p>
      <w:r>
        <w:rPr>
          <w:b/>
        </w:rPr>
        <w:t>E. 9.4</w:t>
      </w:r>
    </w:p>
    <w:p>
      <w:r>
        <w:t>Schliesslich verfügt der Beschwerdeführer über eine gültige Identitätskarte, womit es ihm möglich sein sollte, sich bei der zuständigen Vertretung des Heimatstaates die für eine Rückkehr notwendigen Reisedokumente zu beschaffen (vgl. Art. 8 Abs. 4 AsylG und dazu auch BVGE 2008/34E. 12). Der Vollzug der Wegweisung ist als möglich zu bezeichnen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sind die Verfahrenskosten dem Beschwerdeführer aufzuerlegen (Art. 63 Abs. 1 VwVG) und auf Fr. 750.- festzusetzen (Art. 1-3 des Reglements vom 21. Februar 2008 über die Kosten und Entschädigungen vor dem Bundesverwaltungsgericht [VGKE; SR 173.320.2]). Der am 17. August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