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E-4256/2018 vom 6. August 2020</w:t>
      </w:r>
    </w:p>
    <w:p>
      <w:r>
        <w:t>Bundesverwaltungsgericht, 2020-08-06, DE</w:t>
      </w:r>
    </w:p>
    <w:p>
      <w:r>
        <w:rPr>
          <w:b/>
        </w:rPr>
        <w:t xml:space="preserve">Quelle: </w:t>
      </w:r>
      <w:r>
        <w:t>https://mcp.opencaselaw.ch/entscheid/bvger_E-4256_2018</w:t>
      </w:r>
    </w:p>
    <w:p>
      <w:r>
        <w:t>FR: TAF E-4256/2018 du 6 août 2020</w:t>
      </w:r>
    </w:p>
    <w:p>
      <w:r>
        <w:t>IT: TAF E-4256/2018 del 6 agosto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AIG;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Bundesverwaltungsgericht kommt nach Durchsicht der Akten zum Schluss, dass die Vorinstanz das Asylgesuch des Beschwerdeführers zu Recht abgewiesen hat. Zur Vermeidung von Wiederholungen kann vollumfänglich auf die korrekten Ausführungen in der angefochtenen Verfügung verwiesen werden (Verfügung S. 3). Den Vorbringen des Beschwerdeführers fehlt es offensichtlich an der Asylrelevanz. Seine Ausreisegründe sind eigenen Angaben zufolge rein wirtschaftlicher und finanzieller Natur gewesen (act. A18/8 F7.01 und 7.02; act. A14/16 F116 ff.) und haben seine persönliche Lage betroffen; insbesondere habe er sich nach dem Tod seiner Eltern alleine gefühlt (act. A14/16 F127). Nachteile, welche auf die allgemeinen politischen, wirtschaftlichen oder sozialen Lebensbedingungen in einem Staat zurückzuführen sind, vermögen den Anforderungen von Art. 3 AsylG jedoch nicht zu genügen. Auch die Beschwerdeschrift enthält keine Gründe, wonach der Beschwerdeführer in der Schweiz Schutz vor asylrelevanter Verfügung suchen würde.</w:t>
      </w:r>
    </w:p>
    <w:p>
      <w:r>
        <w:rPr>
          <w:b/>
        </w:rPr>
        <w:t>E. 5.2</w:t>
      </w:r>
    </w:p>
    <w:p>
      <w:r>
        <w:t>Das SEM hat folglich die Flüchtlingseigenschaft des Beschwerdeführers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Der Beschwerdeführer beantragt hinsichtlich der Frage des Vollzugs der Wegweisung eine Aufhebung der angefochtenen Verfügung. Gerügt wird in diesem Zusammenhang die Verletzung der Pflicht zur richtigen und vollständigen Sachverhaltsermittlung und der Begründungspflicht, da sich die Vorinstanz nicht mit der Rechtsprechung des Bundesverwaltungsgericht im koordinationsurteil D-6946/2013 vom 23. März 2018 (publiziert als Referenzurteil) auseinandergesetzt habe und insbesondere keine Prüfung vorgenommen habe, ob im Falle des Beschwerdeführers besondere Umstände vorliegen würden, gemäss welcher eine Wegweisung nach Tripolis als zumutbar zu erachten wäre. Die Änderung der Begründung, namentlich die Annahme in der zweiten Vernehmlassung, dass es sich beim Beschwerdeführer nicht um einen libyschen Staatsangehörigen handle, sondern nunmehr von der ägyptischen Staatsangehörigkeit ausgegangen werde, wird als willkürlich gerügt, weshalb sich ebenfalls eine Aufhebung der Verfügung rechtfertige.</w:t>
      </w:r>
    </w:p>
    <w:p>
      <w:r>
        <w:rPr>
          <w:b/>
        </w:rPr>
        <w:t>E. 8.1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soll mithin die ernsthafte Prüfung der Vorbringen widerspiegeln und es dem Betroffenen ermöglichen, den Entscheid gegebenenfalls sachgerecht anzufechten, was dann möglich ist, wenn sich sowohl der Betroffene als auch die Rechtsmittelinstanz über die Tragweite des Entscheids ein Bild machen können (vgl. BVGE 2008/47 E. 3.2 mit Hinweis auf BGE 129 I 232 E. 3.2). Die Anforderungen an die Begründungsdichte richtet sich nach den Verfahrensumständen. Je stärker ein Entscheid in die individuellen Rechte des Betroffenen eingreift, desto höhere Anforderungen sind an die Begründung der Verfügung zu stellen.</w:t>
      </w:r>
    </w:p>
    <w:p>
      <w:r>
        <w:rPr>
          <w:b/>
        </w:rPr>
        <w:t>E. 8.2</w:t>
      </w:r>
    </w:p>
    <w:p>
      <w:r>
        <w:t>Sodann bildet die unrichtige oder unvollständige Feststellung des rechtserheblichen Sachverhalts in Verletzung der behördlichen Untersuchungspflicht ebenfalls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9.1</w:t>
      </w:r>
    </w:p>
    <w:p>
      <w:r>
        <w:t>Eine Prüfung der Akten ergibt, dass die Beschwerdevorbringen zutreffend sind. Das SEM hat es im angefochtenen Entscheid gänzlich unterlassen, sich im Rahmen des Wegweisungsvollzuges mit der zum damaligen Zeitpunkt bereits ergangenen koordinierten und als solchen ausgewiesenen Rechtsprechung des Bundesverwaltungsgerichts D-6946/2013 vom 23. März 2018 (publiziert als Referenzurteil) auseinanderzusetzen. Es finden sich keine Ausführungen dazu, warum das SEM im Falle des Beschwerdeführers von der Zumutbarkeit des Wegweisungsvollzuges ausgeht, obwohl sich nach der Rechtsprechung eine solche Annahme nur bei Vorliegen begünstigender Umstände rechtfertigt. Im Rahmen der Vernehmlassung vom 21. August 2018 führte die Vorinstanz zwar aus, dass sie das Referenzurteil zur Kenntnis nehme und im konkreten Fall durchaus begünstigende Umstände festzustellen seien, begründete dies aber nicht weiter. Auch der Verweis in der Vernehmlassung auf zwei innerstaatliche Aufenthaltsalternativen stützt sich nicht auf eine inhaltliche Auseinandersetzung mit der Rechtsprechung und der in Libyen herrschenden Situation. Insgesamt ist das SEM seiner Begründungspflicht vorliegend offensichtlich nicht nachgekommen, weshalb sich die Rückweisung der Sache bereits aus diesem Grund rechtfertigt (Art. 61 VwVG).</w:t>
      </w:r>
    </w:p>
    <w:p>
      <w:r>
        <w:rPr>
          <w:b/>
        </w:rPr>
        <w:t>E. 9.2.1</w:t>
      </w:r>
    </w:p>
    <w:p>
      <w:r>
        <w:t>Im Rahmen der zweiten Vernehmlassung vom 8. Juni 2020 geht das SEM neu davon aus, dass es sich beim Beschwerdeführer nicht um einen libyschen Staatsangehörigen handle, sondern der Beschwerdeführer seine ägyptische Staatsangehörigkeit verschweige oder eine solche erwerben könne, weshalb sich der Vollzug der Wegweisung nach Ägypten als zulässig, zumutbar und möglich erweise.</w:t>
      </w:r>
    </w:p>
    <w:p>
      <w:r>
        <w:rPr>
          <w:b/>
        </w:rPr>
        <w:t>E. 9.2.2</w:t>
      </w:r>
    </w:p>
    <w:p>
      <w:r>
        <w:t>Die Vorgehensweise des SEM ist als nicht sachgerecht zu erachten. Es handelt sich bei den Erwägungen des SEM um eine massgebliche inhaltliche Änderung, insbesondere in Bezug auf die Identität des Beschwerdeführers und auf die Frage, ob im Hinblick auf einen Heimatstaat Wegweisungsvollzugshindernisse zu erkennen sind.</w:t>
      </w:r>
    </w:p>
    <w:p>
      <w:r>
        <w:rPr>
          <w:b/>
        </w:rPr>
        <w:t>E. 9.2.3</w:t>
      </w:r>
    </w:p>
    <w:p>
      <w:r>
        <w:t>Die Vorinstanz kann bis zu seiner Vernehmlassung die angefochtene Verfügung in Wiedererwägung ziehen (vgl. Art. 58 VwVG), dies im Sinne einer Aufhebung der Verfügung und dem Erlass einer inhaltlich anderen Verfügung. Es soll ihr möglich sein, aufgrund neuer Tatsachen oder aufgrund anderweitiger Erkenntnisse auf die Verfügung zurückzukommen. Praxisgemäss ist eine Wiedererwägung durch die Vorinstanz bis zum Abschluss des Schriftenwechsels möglich, wobei nicht nur die erste Vernehmlassung der Vorinstanz sondern auch jede weitere Stellungnahme im Sinne von Art. 57 Abs. 2 VwVG gemeint ist, zu der diese von der Beschwerdeinstanz eingeladen worden ist (vgl. BVGE 2011/34 E. 5 ff). Eine entsprechende Wiedererwägung hat das SEM vorliegend nicht vorgenommen. Damit hat es dem Beschwerdeführer eine sachgerechte Anfechtung dieser Annahme und einen Instanzenzug versagt, weshalb sich auch aus diesem Grund die Aufhebung der Verfügung und Rückweisung der Sache zum neuen Entscheid gebietet.</w:t>
      </w:r>
    </w:p>
    <w:p>
      <w:r>
        <w:rPr>
          <w:b/>
        </w:rPr>
        <w:t>E. 9.2.4</w:t>
      </w:r>
    </w:p>
    <w:p>
      <w:r>
        <w:t>Lediglich ergänzend ist festzustellen, dass der Beschwerdeführer in der Schweiz strafrechtlich in Erscheinung getreten ist und diesem Aspekt allenfalls im Zusammenhang mit Art. 83 Abs. 7 Bst. b AIG Relevanz zukommen könnte.</w:t>
      </w:r>
    </w:p>
    <w:p>
      <w:r>
        <w:rPr>
          <w:b/>
        </w:rPr>
        <w:t>E. 10</w:t>
      </w:r>
    </w:p>
    <w:p>
      <w:r>
        <w:t>Die Beschwerde ist soweit die Feststellung der Flüchtlingseigenschaft und das Asyl sowie die Wegweisung betreffend abzuweisen. Die Beschwerde ist gutzuheissen, soweit die Aufhebung der vorinstanzlichen Verfügung betreffend die Dispositivziffern 4 und 5 beantragt wird. Die Sache ist zur Neubeurteilung im Sinne der Erwägungen an die Vorinstanz zurückzuweisen.</w:t>
      </w:r>
    </w:p>
    <w:p>
      <w:r>
        <w:rPr>
          <w:b/>
        </w:rPr>
        <w:t>E. 11.1</w:t>
      </w:r>
    </w:p>
    <w:p>
      <w:r>
        <w:t>Bei diesem Ausgang des Verfahrens ist von einem hälftigen Obsiegen des Beschwerdeführers auszugehen, weshalb er die Verfahrenskosten zur Hälfte zu tragen hätte (vgl. Art. 63 Abs. 1 VwVG). Da dem Beschwerdeführer indes mit Zwischenverfügung vom 7. August 2018 die unentgeltliche Prozessführung gewährt wurde und keine massgebenden Veränderungen der finanziellen Verhältnisse ersichtlich sind, sind keine Verfahrenskosten zu erheben.</w:t>
      </w:r>
    </w:p>
    <w:p>
      <w:r>
        <w:rPr>
          <w:b/>
        </w:rPr>
        <w:t>E. 11.2</w:t>
      </w:r>
    </w:p>
    <w:p>
      <w:r>
        <w:t>Dem vertretenen Beschwerdeführer ist angesichts seines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 Sodann wurde dem Beschwerdeführer mit Zwischenverfügung vom 28. August 2018 die unentgeltliche Rechtsverbeiständung im Sinne von aArt. 110a Abs. 1 Bst. a AsylG gewährt und in der Folge Rechtsanwalt Michael Steiner als amtlicher Rechtsbeistand eingesetzt. Im Umfang des hälftigen Unterliegens ist der amtlich eingesetzte Rechtsbeistand vom Bundesverwaltungsgericht zu entschädigen. Vom Rechtsvertreter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zu entrichtende Parteientschädigung auf Fr. 500. (inklusive anteilsmässigen Auslagen und Mehrwertsteuerzuschlag) festzusetzen und das SEM ist anzuweisen, dem Beschwerdeführer diesen Betrag zu entrichten. Das Honorar für den unentgeltlichen Rechtsbeistand zu Lasten der Gerichtskasse beträgt gerundet ebenfalls Fr. 500.- (inklusive anteilsmässigen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