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E-4251/2021 vom 24. März 2025</w:t>
      </w:r>
    </w:p>
    <w:p>
      <w:r>
        <w:t>Bundesverwaltungsgericht, 2025-03-24, FR</w:t>
      </w:r>
    </w:p>
    <w:p>
      <w:r>
        <w:rPr>
          <w:b/>
        </w:rPr>
        <w:t xml:space="preserve">Quelle: </w:t>
      </w:r>
      <w:r>
        <w:t>https://mcp.opencaselaw.ch/entscheid/bvger_E-4251_2021</w:t>
      </w:r>
    </w:p>
    <w:p>
      <w:r>
        <w:t>FR: TAF E-4251/2021 du 24 mars 2025</w:t>
      </w:r>
    </w:p>
    <w:p>
      <w:r>
        <w:t>IT: TAF E-4251/2021 del 24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(anc. art. 108 al. 2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E-4251/2021 Page 12</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w:t>
      </w:r>
    </w:p>
    <w:p>
      <w:r>
        <w:rPr>
          <w:b/>
        </w:rPr>
        <w:t>E. 3.2.1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w:t>
      </w:r>
    </w:p>
    <w:p>
      <w:r>
        <w:t>E-4251/2021 Page 13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w:t>
      </w:r>
    </w:p>
    <w:p>
      <w:r>
        <w:t>Selon la recourante, le SEM n’aurait pas tenu compte de certains détails importants de son récit, qui renforceraient sa vraisemblance. Les détails mentionnés, qui lui auraient attiré une désapprobation de la part de sa famille, à savoir son surpoids, sa situation de femme célibataire à un âge avancé et sa naissance hors mariage, ne peuvent toutefois pas être considérés comme des éléments essentiels de son récit relatif à ses motifs d’asile. Ses propos ne laissent pas entendre que ce serait directement à cause des désagréments rencontrés pour ces diverses raisons qu’elle aurait quitté définitivement son pays en date du (…) octobre 2018. L’intéressée ne parvient pas non plus à expliquer pourquoi les autres faits invoqués seraient à ce point importants qu’ils auraient dû être expressément mentionnés dans la décision et pris en compte dans l’appréciation. En particulier, elle n’a elle-même pas mis en avant la nationalité de la femme qui l’a hébergée à G._______ lors de son audition. Elle n’a d’ailleurs pas fourni son identité, ni fait de lien entre celle-ci et son entourage en Guinée. En tout état de cause, il ressort de la lecture de la décision entreprise que le SEM a pris en compte l’ensemble des éléments essentiels de la demande d’asile susceptibles d’influencer l’évaluation des conditions requises pour la reconnaissance de la qualité de réfugié. Pour le reste, les griefs de l’intéressée sont en réalité des griefs matériels, dont il sera tenu compte ultérieurement.</w:t>
      </w:r>
    </w:p>
    <w:p>
      <w:r>
        <w:rPr>
          <w:b/>
        </w:rPr>
        <w:t>E. 3.4</w:t>
      </w:r>
    </w:p>
    <w:p>
      <w:r>
        <w:t>La recourante reproche en outre au SEM une instruction insuffisante de son dossier quant aux risques encourus en cas de retour dans son pays. Dans la mesure où l’autorité intimée a estimé que ses déclarations relatives aux préjudices subis en Guinée et qui auraient conduit à son départ étaient invraisemblables, il ne saurait lui être reproché de ne pas avoir examiné</w:t>
      </w:r>
    </w:p>
    <w:p>
      <w:r>
        <w:t>E-4251/2021 Page 14 les risques purement hypothétiques que pourrait encourir l’intéressée en l’absence de préjudices passés ainsi que de crainte de persécution future.</w:t>
      </w:r>
    </w:p>
    <w:p>
      <w:r>
        <w:rPr>
          <w:b/>
        </w:rPr>
        <w:t>E. 3.5</w:t>
      </w:r>
    </w:p>
    <w:p>
      <w:r>
        <w:t>Dans ces circonstances, les griefs formels soulevés dans le recours doivent être écartés. Pour le surplus, les arguments de l’intéressée relèvent du fond et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w:t>
      </w:r>
    </w:p>
    <w:p>
      <w:r>
        <w:t>E-4251/2021 Page 15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de la recourante ne satisfaisaient ni aux exigences de vraisemblance de l’art. 7 LAsi ni aux conditions relatives à la reconnaissance de la qualité de réfugié énoncées à l’art. 3 LAsi.</w:t>
      </w:r>
    </w:p>
    <w:p>
      <w:r>
        <w:rPr>
          <w:b/>
        </w:rPr>
        <w:t>E. 5.2</w:t>
      </w:r>
    </w:p>
    <w:p>
      <w:r>
        <w:t>A titre liminaire, il convient de relever que les évènements que l’intéressée a rapporté avoir vécus en B._______ ne sont pas déterminants sous l’angle de l’art. 3 LAsi. Celle-ci n’apparaît du reste pas s’en prévaloir en tant que motifs d’asile, bien qu’elle fasse mention de préjudices intervenus après sa fuite. Il ressort plutôt de son recours qu’elle entend rendre vraisemblables les préjudices passés allégués en s’appuyant sur le fait qu’elle aurait été victime de traite des êtres humains en B._______. En tout état de cause, il est précisé que l’analyse des motifs d’asile doit intervenir par rapport au pays dont la recourante a la nationalité, en l’occurrence la Guinée (Conakry), et non pas par rapport à B._______, un pays tiers dans lequel elle a séjourné en tant qu’étrangère. La recourante ne pourrait en effet prétendre à la protection internationale fondée sur la Convention du 28 juillet 1951 relative au statut des réfugiés (RS 0.142.30) pour des faits survenus dans un Etat tiers ou de provenance (cf. arrêt du Tribunal E-3874/2017 du 24 octobre 2017 consid. 3.2 ; arrêt D-6216/2017 du 24 novembre 2017 p. 7 ; WALTER STÖCKLI, Asyl, in : Ausländerrecht, 2ème éd. 2009, n. marg. 11.9 p. 526 s.).</w:t>
      </w:r>
    </w:p>
    <w:p>
      <w:r>
        <w:rPr>
          <w:b/>
        </w:rPr>
        <w:t>E. 5.3</w:t>
      </w:r>
    </w:p>
    <w:p>
      <w:r>
        <w:t>A l’appui de sa demande d’asile, l’intéressée a expliqué avoir été violée par un oncle entre décembre 2015 et fin 2017, à qui sa famille aurait ensuite voulu la marier de force en 2018. En raison de son refus, les membres de sa famille l’auraient séquestrée dans une cave, dont elle serait parvenue à s’enfuir. Munie de ses économies et ayant pris contact avec un</w:t>
      </w:r>
    </w:p>
    <w:p>
      <w:r>
        <w:t>E-4251/2021 Page 16 homme qui lui aurait procuré un passeport ainsi que mise en relation avec un passeur, elle aurait quitté son pays en date du (…) octobre 2018. Elle ne se serait pas adressée aux autorités guinéennes, estimant qu’elles n’auraient pas eu la volonté de la protéger.</w:t>
      </w:r>
    </w:p>
    <w:p>
      <w:r>
        <w:rPr>
          <w:b/>
        </w:rPr>
        <w:t>E. 5.4</w:t>
      </w:r>
    </w:p>
    <w:p>
      <w:r>
        <w:t>Le Tribunal n’entend pas mettre en doute le fait que la recourante ait pu subir des violences sexuelles par le passé. Cela étant, après une pondération des éléments plaidant en faveur ainsi qu’en défaveur de la vraisemblance de ses déclarations, force est de constater que l’intéressée n’est pas parvenue à rendre crédible le contexte dans lequel les viols allégués se seraient produits. Surtout, tant ses propos en lien avec une tentative de mariage forcé à l’âge de 2(…) ans que ses explications relatives aux circonstances de sa séquestration dans une cave, de son évasion de celle-ci et de son départ du pays ne sont pas non plus vraisemblables.</w:t>
      </w:r>
    </w:p>
    <w:p>
      <w:r>
        <w:rPr>
          <w:b/>
        </w:rPr>
        <w:t>E. 5.5.1</w:t>
      </w:r>
    </w:p>
    <w:p>
      <w:r>
        <w:t>En effet, bien que chronologiquement cohérent, le récit de la recourante se caractérise par un manque patent d’éléments reflétant une expérience directement vécue. Dans sa jurisprudence, le Tribunal a certes admis qu’il pouvait être difficile pour une personne victime de violences sexuelles de s’exprimer à ce sujet (cf. ATAF 2009/51 consid. 4.2.3 et réf. cit.). Cela étant, même en tenant compte des difficultés évoquer des actes aussi traumatisants que sont des viols, les propos de l’intéressée relatifs aux circonstances dans lesquelles ceux-ci se seraient produits ainsi que plus particulièrement ses dires en lien avec la tentative de mariage forcé qui s’en serait suivie s’avèrent à tel point généraux et stéréotypés, qu’ils ne reflètent pas une expérience directement vécue.</w:t>
      </w:r>
    </w:p>
    <w:p>
      <w:r>
        <w:rPr>
          <w:b/>
        </w:rPr>
        <w:t>E. 5.5.2</w:t>
      </w:r>
    </w:p>
    <w:p>
      <w:r>
        <w:t>Ainsi, à admettre qu’elle ait été violée par son oncle, il serait en effet compréhensible qu’elle ne parvienne pas à s’exprimer de manière détaillée à ce sujet. Cela étant, la recourante est tout de même parvenue à prendre une certaine distance par rapport à cet individu (cf. procès-verbal de l’audition [ci-après : p-v] du 12 mai 2021, Q109). De même, elle a décrit de manière très factuelle les circonstances du premier viol, qui aurait eu lieu en décembre 2015, au crépuscule, alors qu’elle se trouvait seule, dans un lit, chez sa grand-mère maternelle (cf. idem, Q113 et s.). Puis, questionnée sur son état après cet évènement, elle a indiqué qu’elle se sentait mal ainsi qu’abattue et qu’elle pleurait (cf. idem, Q117 et Q120). Si de telles déclarations rapportant un ressenti personnel peuvent constituer un indice</w:t>
      </w:r>
    </w:p>
    <w:p>
      <w:r>
        <w:t>E-4251/2021 Page 17 en faveur de la vraisemblance et que la description de ce premier viol ne peut être appréciée ni en faveur ni en défaveur de sa crédibilité, compte tenu de l’état qui aurait pu être le sien à ce moment-là et du traumatisme causé, il demeure que les autres déclarations apparaissent particulièrement stéréotypées et générales. Elle a notamment déclaré que son oncle lui avait « arraché son enfance » et qu’il la violait à chaque fois qu’il venait chez sa grand-mère, alors qu’elle s’y trouvait seule, occupée aux tâches ménagères (cf. idem, Q121). Pour expliquer le déroulement de ces faits, elle a indiqué que les membres de la famille étaient absents, à savoir que les enfants étaient à l’école et son beau-père ainsi que sa mère au marché (cf. idem, Q122), et que son oncle semblait connaître les jours qu’elle n’allait pas à l’école (cf. idem, Q123). Bien que l’appréciation de dires en lien avec des viols soit délicate, il se dégage toutefois des déclarations de la recourante une impression que les faits décrits ne la concernent pas directement. Il est de plus singulier que toutes les circonstances aient été à ce point favorablement réunies pour la commission des actes décrits. Il n’apparaît en effet pas cohérent qu’après les premiers viols commis dans la maison de sa grand-mère maternelle, où elle s’occupait des tâches ménagères, en dehors de ses cours à l’université, la recourante ait tout de même continué à s’y rendre, au risque de s’y retrouver seule et ainsi de s’y exposer à de nouveaux abus. C’est le lieu de souligner que l’intéressée était alors déjà adulte et disposait d’une importante indépendance financière, dès lors qu’elle travaillait dans un commerce et que son père payait ses études universitaires, ce qui lui aurait même permis de mettre de l’argent de côté. Ainsi, elle disposait vraisemblablement des ressources suffisantes pour éviter de se retrouver seule à faire le ménage dans la maison de sa grand-mère.</w:t>
      </w:r>
    </w:p>
    <w:p>
      <w:r>
        <w:rPr>
          <w:b/>
        </w:rPr>
        <w:t>E. 5.5.3</w:t>
      </w:r>
    </w:p>
    <w:p>
      <w:r>
        <w:t>Ensuite, les explications de la recourante selon lesquelles sa famille, estimant qu’à l’âge de 24 ans, elle était une « grande fille » en âge de se marier, avait tenté de la forcer en août 2018 à épouser son oncle (cf. idem Q102) n’apparaissent pas cohérentes au regard de ses autres déclarations relatives à son environnement familial. Son récit, à savoir celui d’une jeune femme âgée de 21 à 24 ans à l’époque des faits relatés et suivant une formation supérieure, s’intègre en effet difficilement dans l’environnement familial décrit, à savoir celui d’une famille religieuse, presque intégriste, qui attendrait que les jeunes filles pensent à se marier dès leurs premières règles, qui plus est dans un pays où 54.6 % des jeunes filles sont mariées avant l’âge légal (cf. article paru, le 7 mars 2019, sur BBC News, intitulé « La Guinée indignée par le mariage d'une fille de 13 ans », accessible sous le lien Internet https://www.bbc.com/afrique/region-47482287 et</w:t>
      </w:r>
    </w:p>
    <w:p>
      <w:r>
        <w:t>E-4251/2021 Page 18 consulté en date du 6 mars 2025). Dans ce même contexte, il n’est pas non plus cohérent que la recourante ait dénoncé les viols subis de la part de son oncle dans le but d’échapper à un mariage avec celui-ci. Il était en effet fort à craindre que sa famille conforte sa volonté de la marier à cet homme précisément pour ce motif. Ainsi que le SEM l’a retenu à juste titre, ses déclarations en lien avec sa séquestration ainsi que son évasion sont contraires à la logique et dénuées de substance. En effet, il apparaît d’abord singulier que déterminée à la marier de force au mois de novembre 2018, sa famille l’ait enfermée dans une cave dès fin août 2018, soit deux mois plus tôt, en espérant obtenir de cette manière son consentement et venant à « chaque fois aux nouvelles » (cf. p-v du 12 mai 2021, Q143). Puis, si l’intéressée a indiqué que les membres de sa famille s’étaient dit que l’enfermement ainsi que la faim et la soif la feraient céder, elle n’a jamais mentionné que ceux-ci l’avaient effectivement assoiffée ou affamée et n’a fourni que très peu de détails sur les conditions de sa séquestration, qui aurait pourtant duré près de quatre semaines (cf. idem, Q102). Il ressort plutôt de ses dires que c’est elle-même qui a refusé de s’alimenter pendant les deux premières semaines (cf. ibidem). A l’instar du SEM, le Tribunal constate par ailleurs que les déclarations de la recourante relatives à son évasion sont divergentes, celle-ci ayant tantôt indiqué que c’était le fils de sa marâtre qui l’avait laissée s’enfuir, tantôt qu’il s’agissait de sa cousine (cf. idem, Q102 et Q147). Les explications avancées pour expliquer cette divergence et celles ajoutées dans le recours pour appuyer ces dires, à savoir que l’intéressée aurait d’abord giflé sa cousine avant que celle-ci ne la laisse partir, ayant eu de la peine pour elle et croyant en elle, ne convainquent pas le Tribunal. C’est en outre en raison d’un très heureux hasard que la recourante aurait été séquestrée précisément dans la maison où elle aurait caché ses économies et qu’elle y aurait également caché le numéro de téléphone d’une personne tout à fait à même de l’aider à quitter le pays, à savoir celui d’un client de son commerce qui, touché par sa gentillesse, lui aurait indiqué qu’il pouvait « faciliter le voyage d’une personne » (cf. idem, Q79). S’ajoute à cela une coïncidence qui ne trouve pas d’explication convaincante, à savoir que cet homme aurait connu un membre de sa famille – la recourante ne sachant toutefois pas de qui il s’agissait –, par lequel celui-ci aurait appris qu’elle était recherchée (cf. idem, Q148). A cet égard, les explications avancées dans le recours relatives à la manière dont elle aurait fait la connaissance de cet homme ne permettent pas d’amener à une appréciation différente.</w:t>
      </w:r>
    </w:p>
    <w:p>
      <w:r>
        <w:t>E-4251/2021 Page 19 Il demeure en effet que son récit est dénué d’éléments reflétant la réalité d’un vécu personnel et qu’il s’avère très peu plausible.</w:t>
      </w:r>
    </w:p>
    <w:p>
      <w:r>
        <w:rPr>
          <w:b/>
        </w:rPr>
        <w:t>E. 5.5.4</w:t>
      </w:r>
    </w:p>
    <w:p>
      <w:r>
        <w:t>Par ailleurs, si le Tribunal ne partage pas l’appréciation de l’autorité intimée, selon laquelle il ne serait pas crédible qu’une personne puisse quitter la Guinée de manière légale, en étant recherchée par sa famille de manière active, il constate, à l’instar de ladite autorité, qu’il n’est pas cohérent que la recourante ne se souvienne pas du nom de l’homme qui l’aurait aidée à quitter le pays, alors même qu’il était un client apprécié de son commerce, qu’elle aurait pris contact avec lui par téléphone, puis rencontré personnellement, avant qu’il ne la conduise dans un lieu – qu’elle n’a du reste pas non plus su nommer – et où elle se serait cachée jusqu’à son départ du pays (cf. p-v du 12 mai 2021, Q 148). Dans ces circonstances, même à admettre ses explications s’agissant des quelques divergences relevées par le SEM entre ses déclarations et celles de son père, les éléments d’invraisemblance ressortant de son récit sont à ce point importants et nombreux que celui-ci ne peut être considéré comme vraisemblable.</w:t>
      </w:r>
    </w:p>
    <w:p>
      <w:r>
        <w:rPr>
          <w:b/>
        </w:rPr>
        <w:t>E. 5.5.5</w:t>
      </w:r>
    </w:p>
    <w:p>
      <w:r>
        <w:t>L’intéressée soutient certes que les rapports médicaux versés à son dossier attesteraient les préjudices allégués. En l’occurrence, il en ressort qu’elle présente un état de stress post-traumatique (F43.1) associé à : « dislocation de la famille par séparation et divorce (Z63.5), « parent à charge au domicile, nécessitant des soins » (Z63.6), « autres difficultés liées à l'environnement social (harcèlement) » (Z60.8), « antécédents familiaux d'autres troubles mentaux et du comportement » (Z81.1), « expérience personnelle terrifiante pendant l'enfance » (Z61.7), « agression sexuelle par la force physique » (Y05), « agression par la force physique » (Y04), « sévices psychologiques » (T74.3), « autres mauvais traitements (séquestration) » (Y07) et « absence acquise d'organe(s) génital(aux) » (Z90.7). De plus, sa gynécologue a diagnostiqué un (…) important, qu’elle a mis en lien avec des antécédents d’agressions sexuelles infligées par un membre de sa famille (cf. attestation du 18 novembre 2021). S’agissant des diagnostics posés par les médecins consultés, c’est le lieu de relever que, selon la jurisprudence, ils n’établissent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w:t>
      </w:r>
    </w:p>
    <w:p>
      <w:r>
        <w:t>E-4251/2021 Page 20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librement. Quant aux anamnèses rédigées par les praticiens qui suivent la recourante, elles se limitent à reprendre les propos tenus par leur patiente, raison pour laquelle elles n’ont pas davantage de valeur probante que les allégations présentées à l’appui de la demande d’asile. Dans ces circonstances, lesdits rapports médicaux ne permettent pas à eux seuls de rendre crédibles les déclarations de la recourante s’agissant de son vécu en Guinée. Pour les mêmes motifs, l’attestation rédigée, le 16 novembre 2021, par une intervenante LAVI ne permet pas non plus à elle seule de démontrer la réalité des préjudices allégués.</w:t>
      </w:r>
    </w:p>
    <w:p>
      <w:r>
        <w:rPr>
          <w:b/>
        </w:rPr>
        <w:t>E. 5.5.6</w:t>
      </w:r>
    </w:p>
    <w:p>
      <w:r>
        <w:t>En outre, le fait que l’intéressée ait pu potentiellement être victime de traite d’êtres humains en B._______ ne permet pas à lui seul de rendre ses déclarations vraisemblables s’agissant des évènements ayant conduit à son départ de Guinée, étant tout de même relevé à cet égard que la recourante a refusé de collaborer avec les autorités de poursuite pénale. Quant à la crainte de l’intéressée d’être retrouvée dans son pays par la femme qui aurait exploité sa force de travail à G._______ et d’être à nouveau contrainte à travailler, elle n’apparaît pas fondée. En effet, aucun élément concret ne permet de retenir que cette personne puisse être en mesure de la retrouver dans son pays d’origine. D’ailleurs, ce n’est qu’au stade du recours que l’intéressée a précisé qu’il s’agissait d’une compatriote, ayant jusqu’alors seulement indiqué qu’il s’agissait d’une femme noire (cf. p-v de l’audition du 12 mai 2021, Q180 ; entretien Dublin du 23 mars 2021). Quant à la possible appartenance de cette personne à un réseau international de traite d’êtres humains, elle apparaît très hypothétique et ne peut fonder à elle seule une crainte fondée de persécution future. En tout état de cause, il est rappelé que le risque de « retrafficking » ne constitue pas, en règle générale, un motif relevant de l'art. 3 LAsi, leurs auteurs opérant à des fins criminelles d'enrichissement et n'agissant pas envers leurs victimes pour des motifs pertinents au regard de cette disposition (cf. notamment arrêt du Tribunal D-4826/2021 du 5 janvier 2022, p. 7).</w:t>
      </w:r>
    </w:p>
    <w:p>
      <w:r>
        <w:rPr>
          <w:b/>
        </w:rPr>
        <w:t>E. 5.5.7</w:t>
      </w:r>
    </w:p>
    <w:p>
      <w:r>
        <w:t>Enfin, la crainte alléguée par la recourante de subir des préjudices de la part de membres de sa famille, en raison de sa naissance hors mariage, de son surpoids ou encore de sa situation de femme célibataire</w:t>
      </w:r>
    </w:p>
    <w:p>
      <w:r>
        <w:t>E-4251/2021 Page 21 ne permet pas de conduire à la reconnaissance de sa qualité de réfugiée, faute d’intensité suffisante. Quant à sa crainte de devoir se marier contre sa volonté, elle demeure très hypothétique compte tenu de l’invraisemblance de ses dires quant à une tentative de mariage forcé passé. A noter que l’intéressée est désormais âgée de 3(…) ans.</w:t>
      </w:r>
    </w:p>
    <w:p>
      <w:r>
        <w:rPr>
          <w:b/>
        </w:rPr>
        <w:t>E. 5.6</w:t>
      </w:r>
    </w:p>
    <w:p>
      <w:r>
        <w:t>Au regard de ce qui précède, les éléments plaidant en défaveur de la vraisemblance des déclarations de la recourante sont plus importants que ceux plaidant en sa faveur. C’est partant à bon droit que le SEM a considéré que ses propos ne satisfaisaient pas aux exigences de l’art. 7 LAsi. Dans ces circonstances, l’intéressée n’a pas rendu crédible qu’elle avait subi des préjudices déterminants en matière d’asile avant son départ de Guinée. Au regard du dossier, rien ne permet de retenir qu’elle puisse être fondée à craindre une persécution future pour les motifs allégués.</w:t>
      </w:r>
    </w:p>
    <w:p>
      <w:r>
        <w:rPr>
          <w:b/>
        </w:rPr>
        <w:t>E. 5.7</w:t>
      </w:r>
    </w:p>
    <w:p>
      <w:r>
        <w:t>Il s'ensuit que le recours doit être rejeté, en tant qu'il conteste le refus de reconnaissance de la qualité de réfugié et le rejet de la demande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des conditions fait défaut,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w:t>
      </w:r>
    </w:p>
    <w:p>
      <w:r>
        <w:t>E-4251/2021 Page 22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la recourante n'a pas rendu vraisemblable qu'en cas de retour dans son pays d'origine, elle serait exposée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8.3.3</w:t>
      </w:r>
    </w:p>
    <w:p>
      <w:r>
        <w:t>En l’espèce, pour les raisons exposées, la recourante n’a pas démontré à satisfaction de droit qu'il existerait pour elle un risque réel, fondé sur des motifs sérieux et avérés, d'être victime de torture ou d'une peine et d'un traitement inhumain ou dégradant au sens de l'art. 3 CEDH</w:t>
      </w:r>
    </w:p>
    <w:p>
      <w:r>
        <w:t>E-4251/2021 Page 23 ou 3 Conv. torture en cas d'exécution du renvoi dans son pays d'origine. Dans ce cadre, il est souligné qu’il ne ressort du dossier aucun élément concret permettant de retenir que l’intéressée pourrait être confrontée selon une haute probabilité à un risque de « retrafficking » en cas de retour en Guinée ; ainsi qu’exposé, sa crainte d’être retrouvée dans son pays par la femme qui aurait exploité sa force de travail en B._______ n’apparaît pas vraisemblable (cf. consid. 5.5.6).</w:t>
      </w:r>
    </w:p>
    <w:p>
      <w:r>
        <w:rPr>
          <w:b/>
        </w:rPr>
        <w:t>E. 8.4</w:t>
      </w:r>
    </w:p>
    <w:p>
      <w:r>
        <w:t>Dans ces conditions, l'exécution du renvoi de l’intéressée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9.3</w:t>
      </w:r>
    </w:p>
    <w:p>
      <w:r>
        <w:t>En ce qui concerne en particulier les personnes en traitement médical en Suisse, l'exécution du renvoi ne devient inexigible que dans la mesure où elles pourraient ne plus recevoir les soins essentiels garantissant des conditions minimales d'existence à leur retour dans leur pays d'origine ou</w:t>
      </w:r>
    </w:p>
    <w:p>
      <w:r>
        <w:t>E-4251/2021 Page 24 de provenance.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w:t>
      </w:r>
    </w:p>
    <w:p>
      <w:r>
        <w:rPr>
          <w:b/>
        </w:rPr>
        <w:t>E. 9.4</w:t>
      </w:r>
    </w:p>
    <w:p>
      <w:r>
        <w:t>En l’occurrence, il ne ressort pas du dossier que les problèmes de santé de la recourante sont tels que l’exécution de son renvoi la mettrait concrètement en danger, au sens restrictif de l’art. 83 al. 4 LEI. En effet, l’intéressée ne présente pas, en l’état, de problèmes de santé graves qui nécessiteraient une prise en charge ainsi qu’un traitement particulièrement lourds et en l'absence desquels son état se dégraderait rapidement de manière à mettre en danger son intégrité physique ou psychique en cas de retour en Guinée (cf. ATAF 2011/50 précité consid. 8.3 ; 2009/2 consid. 9.3.2 et jurisp. cit.). Pour rappel, il ressort des rapports médicaux établis par sa psychiatre qu’elle souffre d’un état de stress post- traumatique pour lequel elle a bénéficié d’une psychothérapie, qui a été interrompue, ses problèmes métaboliques étant devenus trop importants (cf. let. W.). Elle souffre également d’un trouble alimentaire de type hyperphagie boulimique. Selon les dernières informations, son état phycologique est stable et ses crises d’hyperphagies sont moins fréquentes (cf. rapport du 12 août 2024 ; let. W.). De plus, un spécialiste en endocrinologie et diabétologie a signalé des troubles dépressifs réactionnels, sans que ceux-ci n’aient été diagnostiqués par sa psychiatre. En dernier lieu, elle a nécessité la prise d’un antidépresseur sous la forme de sertraline ainsi que d’un sédatif à base de plantes (cf. let. Q.). Sur le</w:t>
      </w:r>
    </w:p>
    <w:p>
      <w:r>
        <w:t>E-4251/2021 Page 25 plan somatique, la recourante souffre de (…) et présente une obésité de classe III, un prédiabète – en raison duquel un traitement synergique par sémaglutide a été introduit en mai 2024 –, une hypothyroïdie ainsi qu’un probable syndrome des ovaires polykystiques (cf. let. V.).</w:t>
      </w:r>
    </w:p>
    <w:p>
      <w:r>
        <w:rPr>
          <w:b/>
        </w:rPr>
        <w:t>E. 9.5</w:t>
      </w:r>
    </w:p>
    <w:p>
      <w:r>
        <w:t>Il appert certes que l’encadrement thérapeutique disponible en Guinée ne correspond pas nécessairement aux standards prévalant en Suisse. Cela étant et ainsi que l’a relevé le SEM, Conakry dispose d’un hôpital public avec un service psychiatrique, à savoir le Centre Hospitalier Universitaire Donka (cf. arrêts du Tribunal D-4909/2019 du 11 octobre 2021 consid. 8.4 et réf. cit. ; D-2929/2021 du 13 septembre 2021 consid. 3.5.4 et réf. cit.). Il ressort également des sources consultées que les coûts d’un traitement psychiatrique est en pratique à la charge des patients ou de leur famille, une assurance-maladie étatique n’existant pas en Guinée (cf. notamment WORLD HEALTH ORGANIZATION [WHO], Mental Health Atlas 2020 : Member State Profile – Guinea, 15.04.2022, accessible sous le lien Internet https://cdn.who.int/media/docs/default-source/mental- health/mental-health-atlas-2020-country-profiles/gin.pdf?sfvrsn=e4186d4 4_5&amp;download=true ; ORGANISATION SUISSE D’AIDE AUX RÉFUGIÉS [OSAR], Schnellrecherche der SFH-Ländernalayse zu Guinea : Psychiatrische Behandlung, 22 juillet 2016 ; sources consultées en date du 6 mars 2025). Enfin, ainsi que la recourante l’a signalé, le nombre de psychiatres en Guinée est limité et il appert en effet que le CHU Donka n’en dispose que de quelque cinq (cf. arrêt du Tribunal E-5258/2021 du 22 novembre 2024 consid. 7.6). Cela étant, l’intéressée ne nécessite actuellement aucun suivi psychiatrique particulier, son état psychique étant stable, celle-ci ayant même interrompu ses consultations en psychothérapie. Quant aux médicaments dont elle a besoin, il lui sera possible de se constituer une réserve avant son départ de Suisse ainsi que de présenter au SEM après la clôture de la présente procédure, si cela s’avérait nécessaire,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C’est par ailleurs le lieu de relever qu’ayant vécu à Conakry jusqu’à son départ du pays, à savoir jusqu’à l’âge de 2(…) ans, l’intéressée y aurait suivi des études supérieures, effectué des stages en (…) et été employée dans un commerce. Ainsi, il y a lieu d’admettre qu’elle dispose d’atouts importants qui lui permettront de se réinstaller dans son pays d’origine sans</w:t>
      </w:r>
    </w:p>
    <w:p>
      <w:r>
        <w:t>E-4251/2021 Page 26 difficultés insurmontables et d’être rapidement en mesure de couvrir ses frais médicaux. A cela s’ajoute qu’elle est manifestement apte à travailler, ayant effectué des formations en Suisse ; elle est en outre dans la force de l’âge et sans charge de famille. La vraisemblance de ses dires en lien avec les problèmes qu’elle aurait rencontrés à Conakry ayant été écartée, rien ne permet de penser qu’elle ne pourrait pas s’installer dans cette ville où demeurent des membres de sa famille. Quant à ses allégations relatives à des mauvais traitements relevant d’une traite des êtres humains subis en B._______, à savoir dans un pays dans lequel elle a séjourné temporairement après son départ de Guinée et avant son arrivée en Suisse, elles ne permettent pas d’amener à une appréciation différente quant à ses possibilités de réinstallation au pays.</w:t>
      </w:r>
    </w:p>
    <w:p>
      <w:r>
        <w:rPr>
          <w:b/>
        </w:rPr>
        <w:t>E. 9.6</w:t>
      </w:r>
    </w:p>
    <w:p>
      <w:r>
        <w:t>Au vu de ce qui précède, l’exécution du renvoi de la recourante doit être considérée comme raisonnablement exigible.</w:t>
      </w:r>
    </w:p>
    <w:p>
      <w:r>
        <w:rPr>
          <w:b/>
        </w:rPr>
        <w:t>E. 10</w:t>
      </w:r>
    </w:p>
    <w:p>
      <w:r>
        <w:t>Enfin, l'exécution du renvoi est possible (art. 83 al. 2 LEI a contrario ; cf. ATAF 2008/34 consid. 12 et jurisp. cit.), la recourante étant tenue de collaborer à l'obtention de documents de voyage lui permettant de retourner dans son pays d'origine (art. 8 al. 4 LAsi). L'exécution du renvoi ne se heurte donc pas à des obstacles insurmontables d'ordre technique et s'avère également possible (cf. ATAF 2008/34 consid. 12).</w:t>
      </w:r>
    </w:p>
    <w:p>
      <w:r>
        <w:rPr>
          <w:b/>
        </w:rPr>
        <w:t>E. 11.1</w:t>
      </w:r>
    </w:p>
    <w:p>
      <w:r>
        <w:t>La décision attaquée ne viole pas le droit fédéral et le SEM a établi de manière exacte et complète l'état de fait pertinent (art. 106 al. 1 LAsi). Dans la mesure où ce grief peut être examiné (art. 49 PA ; cf. ATAF 2014/26 consid. 5), elle n’est pas non plus inopportune.</w:t>
      </w:r>
    </w:p>
    <w:p>
      <w:r>
        <w:rPr>
          <w:b/>
        </w:rPr>
        <w:t>E. 11.2</w:t>
      </w:r>
    </w:p>
    <w:p>
      <w:r>
        <w:t>En conséquence, le recours est également rejeté, en tant qu’il conteste le prononcé du renvoi et son exécution.</w:t>
      </w:r>
    </w:p>
    <w:p>
      <w:r>
        <w:rPr>
          <w:b/>
        </w:rPr>
        <w:t>E. 12.1</w:t>
      </w:r>
    </w:p>
    <w:p>
      <w:r>
        <w:t>Compte tenu de l'issue de la cause, il y aurait lieu de mettre les frais de procédure à la charge de la recourante, conformément aux art. 63 al. 1 PA ainsi que 2 et 3 let. b du règlement du 21 février 2008 concernant les frais, dépens et indemnités fixées par le Tribunal administratif (FITAF, RS 173.320.2). La demande d'assistance judiciaire totale ayant cependant été admise par décision incidente du 16 février 2023 et rien n'indiquant que</w:t>
      </w:r>
    </w:p>
    <w:p>
      <w:r>
        <w:t>E-4251/2021 Page 27 l’intéressée ne serait plus indigente à ce jour, il est statué sans frais (art. 65 al. 1 PA).</w:t>
      </w:r>
    </w:p>
    <w:p>
      <w:r>
        <w:rPr>
          <w:b/>
        </w:rPr>
        <w:t>E. 12.2</w:t>
      </w:r>
    </w:p>
    <w:p>
      <w:r>
        <w:t>Il convient par ailleurs d'allouer aux mandataires d’office de la recourante une indemnité à titre d'honoraires et de débours pour les frais nécessaires occasionnés par le recours (art. 8 à 11 FITAF applicables par analogie selon l’art. 12 FITAF).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12.3</w:t>
      </w:r>
    </w:p>
    <w:p>
      <w:r>
        <w:t>En l’occurrence, il y a d’abord lieu d’accéder à la demande de la nouvelle représentante juridique de la recourante et de désigner Maëva Cherpillod en tant que mandataire d’office. Il est relevé que toutes les mandataires intervenues dans la présente procédure sont employées par le même bureau de consultation juridique, à savoir C._______ à N._______ et qu’une seule note de frais et honoraires a été produite pour l’ensemble de l’activité de celles-ci (cf. note de frais et honoraires du 17 octobre 2024, produite en annexe au courrier du même jour).</w:t>
      </w:r>
    </w:p>
    <w:p>
      <w:r>
        <w:rPr>
          <w:b/>
        </w:rPr>
        <w:t>E. 12.4</w:t>
      </w:r>
    </w:p>
    <w:p>
      <w:r>
        <w:t>Il ressort de ladite note qu’un total de 13,5 heures a été consacré à la défense des intérêts de la recourante par une juriste titulaire du brevet d’avocat, puis 4 heures par une juriste ne disposant pas d’un tel brevet. Ainsi, il convient de retenir 13,5 heures au tarif de 200 francs (à savoir celui appliqué dans la note précitée, qui parvient à un total de 2'700 francs) et 4 heures à celui de 150 francs, soit un total de 3'300 francs hors TVA. Les frais de secrétariat et de photocopies ainsi que les frais de port estimés à 50 francs, sans production de justificatif à leur appui, ne peuvent pas être remboursés.</w:t>
      </w:r>
    </w:p>
    <w:p>
      <w:r>
        <w:rPr>
          <w:b/>
        </w:rPr>
        <w:t>E. 12.5</w:t>
      </w:r>
    </w:p>
    <w:p>
      <w:r>
        <w:t>Partant, il apparaît justifié de fixer l'indemnité due à 3'567.30 francs, TVA comprise selon l’art. 9 al. 1 let. c FITAF. (dispositif : page suivante)</w:t>
      </w:r>
    </w:p>
    <w:p>
      <w:r>
        <w:t>E-4251/2021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