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E-4250/2024 vom 26. Juni 2024</w:t>
      </w:r>
    </w:p>
    <w:p>
      <w:r>
        <w:t>Bundesverwaltungsgericht, 2024-06-26, DE</w:t>
      </w:r>
    </w:p>
    <w:p>
      <w:r>
        <w:rPr>
          <w:b/>
        </w:rPr>
        <w:t xml:space="preserve">Quelle: </w:t>
      </w:r>
      <w:r>
        <w:t>https://mcp.opencaselaw.ch/entscheid/bvger_E-4250_2024_d20240626</w:t>
      </w:r>
    </w:p>
    <w:p>
      <w:r>
        <w:t>FR: TAF E-4250/2024 du 26 juin 2024</w:t>
      </w:r>
    </w:p>
    <w:p>
      <w:r>
        <w:t>IT: TAF E-4250/2024 del 26 giugno 2024</w:t>
      </w:r>
    </w:p>
    <w:p>
      <w:pPr>
        <w:pStyle w:val="Heading2"/>
      </w:pPr>
      <w:r>
        <w:t>Regeste</w:t>
      </w:r>
    </w:p>
    <w:p>
      <w:r>
        <w:t>Asyl und Wegweisung (beschleunigtes Verfahren) | Asyl und Wegweisung (beschleunigtes Verfahren); Verfügung des SEM vom 26. Juni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um eine solche, weshalb das Urteil nur summarisch zu be- gründen ist (Art. 111a Abs. 2 AsylG).</w:t>
      </w:r>
    </w:p>
    <w:p>
      <w:r>
        <w:rPr>
          <w:b/>
        </w:rPr>
        <w:t>E. 4.1</w:t>
      </w:r>
    </w:p>
    <w:p>
      <w:r>
        <w:t>Der Beschwerdeführer beantragt eventualiter die Rückweisung der Sa- che zur rechtsgenüglichen Feststellung des Sachverhaltes an die Vor- instanz. Er macht sinngemäss geltend, die Vorinstanz habe den Untersu- chungsgrundsatz verletzt, indem sie trotz Kenntnis über mögliche Unterla- gen betreffend ein gegen ihn eingeleitetes Ermittlungsverfahren den Asyl- entscheid gefällt habe. Er habe die Dokumente nicht früher einreichen kön- nen, da er seinem Anwalt in der Türkei erst eine Vollmacht habe erteilen müssen.</w:t>
      </w:r>
    </w:p>
    <w:p>
      <w:r>
        <w:t>E-4250/2024 Seite 6 Dabei handelt es sich um eine formelle Rüge, welche bei deren Gutheis- sung grundsätzlich eine Kassation der vorinstanzlichen Verfügung zur Folge haben könnte, mithin vorab zu beurteilen ist.</w:t>
      </w:r>
    </w:p>
    <w:p>
      <w:r>
        <w:rPr>
          <w:b/>
        </w:rPr>
        <w:t>E. 4.2</w:t>
      </w:r>
    </w:p>
    <w:p>
      <w:r>
        <w:t>Die Sachverhaltsfeststellung ist unvollständig, wenn nicht alle für den Entscheid rechtswesentlichen Sachumstände berücksichtigt werden (vgl. KÖLZ/HÄNER/BERTSCHI, Verwaltungsverfahren und Verwaltungs- rechtspflege des Bundes, 3. Aufl., 2013, Rz. 1043).</w:t>
      </w:r>
    </w:p>
    <w:p>
      <w:r>
        <w:rPr>
          <w:b/>
        </w:rPr>
        <w:t>E. 4.3</w:t>
      </w:r>
    </w:p>
    <w:p>
      <w:r>
        <w:t>Den Akten kann entnommen werden, dass der Beschwerdeführer an- lässlich dessen Anhörung zu Protokoll gegeben hat, es sei ein Ermittlungs- verfahren gegen ihn eröffnet worden, und er werde die entsprechenden Beweismittel einreichen, sobald er diese von seinem Anwalt in der Türkei, welchen er erst hier in der Schweiz habe bevollmächtigen können, erhalten habe (vgl. SEM-Akten 1330966-12/13 [nachfolgend act. A12/13] F76 und F84). Zum Zeitpunkt des Erlasses der angefochtenen Verfügung – rund zwei Wochen nach der Anhörung des Beschwerdeführers – war die Vor- instanz weder im Besitz der von ihm angezeigten Beweismittel noch einer Kopie der hier in der Schweiz ausgestellten Vollmacht für den Anwalt in der Türkei. In der angefochtenen Verfügung erwog die Vorinstanz in diesem Zusammenhang, gegenwärtig würden weder Beweismittel noch Hinweise für einen Festnahme- beziehungsweise Vorführ- oder Haftbefehl vorliegen. Unter Hinweis auf die Rechtsprechung des Bundesverwaltungsgerichts führte sie weiter aus, in der Türkei würden oft Untersuchungsverfahren in teils hoher Zahl eingeleitet, häufig aber auch wieder eingestellt. Es sei da- her offen, ob die Untersuchungen in absehbarer Zeit überhaupt zu einer Anklageerhebung, einer Eröffnung eines Gerichtsverfahrens oder einer späteren Verurteilung aus einem flüchtlingsrechtlich relevanten Motiv führe. Dazu ist festzustellen, dass der Beschwerdeführer gemäss seinen Anga- ben anlässlich der Befragung nach der Razzia vom (…) erfahren habe, dass er wegen Terrorpropaganda und Beiträgen in den sozialen Medien gesucht werde (vgl. act. A12/13 F76). Deshalb habe er sich bis zur Aus- reise am (…) 2024 versteckt (vgl. act. A12/13 F56). Vor diesem Hinter- grund ist nicht nachvollziehbar, weshalb er nicht bereits zum damaligen Zeitpunkt einen Anwalt in der Türkei beauftragt hat und dies erst nach der Ankunft in der Schweiz tat. Im Übrigen ist letzteres eine blosse, nicht näher substantiierte Behauptung des Beschwerdeführers. Vor diesem Hinter- grund durfte die Vorinstanz im Sinne einer antizipierten Beweiswürdigung aufzeigen, weshalb auch die in Aussicht gestellten Beweismittel nichts an</w:t>
      </w:r>
    </w:p>
    <w:p>
      <w:r>
        <w:t>E-4250/2024 Seite 7 der Sachlage ändern würden, mithin sie deren Eingang nicht abwarten musste. Nachdem der Beschwerdeführer die Beweismittel im Beschwer- deverfahren eingereicht hat, ist ihm kein Nachteil erwachsen, welcher auf eine Verletzung seiner Verfahrensrechte schliessen liesse. Die formelle Rüge erweist sich als unbegründet und der Antrag auf Rückweisung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 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BVGE2015/3 E. 6.5.1 m.w.H.).</w:t>
      </w:r>
    </w:p>
    <w:p>
      <w:r>
        <w:rPr>
          <w:b/>
        </w:rPr>
        <w:t>E. 6.1</w:t>
      </w:r>
    </w:p>
    <w:p>
      <w:r>
        <w:t>Die Vorinstanz gelangt in ihrer angefochtenen Verfügung zum Schluss, die Vorbringen des Beschwerdeführers hielten weder den Anforderungen an die Flüchtlingseigenschaft gemäss Art. 3 AsylG noch denjenigen des Glaubhaftmachens gemäss Art. 7 AsylG stand. Zur Begründung führt die Vorinstanz aus, der geltend gemachten Benach- teiligung aufgrund des Todes des Bruders sowie dem Angriff einer nationalistischen Gruppierung auf die Person des Beschwerdeführers fehle es an der erforderlichen flüchtlingsrechtlich relevanten Intensität. Die Dar-</w:t>
      </w:r>
    </w:p>
    <w:p>
      <w:r>
        <w:t>E-4250/2024 Seite 8 stellungen gingen nicht über die Nachteile hinaus, die weite Teile der kur- dischen Bevölkerung in der Türkei in ähnlicher Weise treffen könne. Soweit der Beschwerdeführer geltend mache, die türkischen Strafverfol- gungsbehörden hätten ein Untersuchungsverfahren wegen Terrorpropa- ganda eröffnet, würden gegenwärtig keine Beweismittel oder Hinweise vor- liegen, dass die türkischen Behörden gegen ihn ein Festnahme- bezie- hungsweise Vorführ- oder Haftbefehl erlassen hätten. Das Risiko für eine Festnahme bei der Einreise in die Türkei sei somit gering, zumal in der Türkei in hoher Zahl Untersuchungsverfahren eingeleitet, jedoch häufig eingestellt würden. Weiter würden die Beiträge auf den sozialen Medien in einem engen zeitlichen Zusammenhang mit der Ausreise des Beschwer- deführers stehen. Dies lasse darauf schliessen, dass er die Strafverfolgung mit hoher Wahrscheinlichkeit bewusst eingeleitet habe oder habe einleiten lassen, um subjektive Nachfluchtgründe zu begründen, was rechtsmiss- bräuchlich sei. Selbst wenn er bei einer Rückkehr mit Unannehmlichkeiten konfrontiert werde, könne davon ausgegangen werden, dass er diese Nachteile in geeigneter Weise abwenden könne. Die in der Stellungnahme zum Entwurf des Asylentscheids geltend ge- machten Vorbringen ‒ politisch exponiertes Profil der Familie, Verbindung zur PKK sowie Beteiligung an verschiedenen Kundgebungen in der Schweiz ‒ seien sodann nicht glaubhaft, zumal der Beschwerdeführer zu wesentlichen Punkten unterschiedliche Angaben gemacht habe.</w:t>
      </w:r>
    </w:p>
    <w:p>
      <w:r>
        <w:rPr>
          <w:b/>
        </w:rPr>
        <w:t>E. 6.2</w:t>
      </w:r>
    </w:p>
    <w:p>
      <w:r>
        <w:t>In der Rechtsmitteleingabe bringt der Beschwerdeführer vor, er verfüge über Beweismittel, die zeigen würden, dass er aufgrund des laufenden Er- mittlungsverfahrens bei einer Einreise in die Türkei sofort verhaftet werde. Am 3. Juli 2024 habe er durch die Vorinstanz eine Kopie seines Ausweises erhalten, um seinen Anwalt im Heimatstaat die entsprechende Vollmacht zu erteilen. Die Beweismittel würde er nach deren Erhalt einreichen.</w:t>
      </w:r>
    </w:p>
    <w:p>
      <w:r>
        <w:rPr>
          <w:b/>
        </w:rPr>
        <w:t>E. 7.1</w:t>
      </w:r>
    </w:p>
    <w:p>
      <w:r>
        <w:t>Der Beschwerdeführer rügt sinngemäss, die Vorinstanz habe ihn zu Unrecht nicht als Flüchtling anerkannt und den Massstab des Glaubhaft- machens nicht richtig angewendet, mithin verletze sie Bundesrecht.</w:t>
      </w:r>
    </w:p>
    <w:p>
      <w:r>
        <w:rPr>
          <w:b/>
        </w:rPr>
        <w:t>E. 7.2</w:t>
      </w:r>
    </w:p>
    <w:p>
      <w:r>
        <w:t>Die vorinstanzlichen Erwägungen sind nicht zu beanstanden, zumal der Beschwerdeführer sich in seiner Rechtsmitteleingabe mit diesen nicht substantiiert auseinandergesetzt hat. Wie sich aus den nachfolgenden Ausführungen ergibt, ist die Vorinstanz zu Recht auch ohne Vorliegen der</w:t>
      </w:r>
    </w:p>
    <w:p>
      <w:r>
        <w:t>E-4250/2024 Seite 9 entsprechenden Beweismittel davon ausgegangen, dass das Risiko für eine Festnahme des Beschwerdeführers bei der Einreise in die Türkei ge- ring sei, zumal in der Türkei in hoher Zahl Untersuchungsverfahren einge- leitet, jedoch häufig eingestellt würden.</w:t>
      </w:r>
    </w:p>
    <w:p>
      <w:r>
        <w:rPr>
          <w:b/>
        </w:rPr>
        <w:t>E. 7.3</w:t>
      </w:r>
    </w:p>
    <w:p>
      <w:r>
        <w:t>Im Nachgang zur Rechtmitteleingabe hat der Beschwerdeführer so- wohl Unterlagen zu einem Ermittlungs-/Untersuchungsverfahren wegen Terrorpropaganda und Beleidigung des Präsidenten der Republik sowie Screenshots zu erhaltenen Drohungen in den sozialen Medien eingereicht. Zunächst ist festzustellen, dass die eingereichten Strafakten vier fast iden- tische Schreiben enthalten, welche vom (…), (…), (…), (…) 2024 datieren und je ein Verfahren wegen Terrorpropaganda einleiten. In Anbetracht de- ren Ausstellungsdaten ist für das Gericht nicht erklärbar, dass es erst am (…) zu einer Razzia an der Wohnadresse des Beschwerdeführers gekom- men sein soll. Ebenso wenig ist nachvollziehbar, dass ein vom (…) 2024 datiertes Schreiben Bezug nimmt auf ein Schreiben vom (…) 2024. Inso- weit bestehen erhebliche Zweifel an der Echtheit der nachgereichten Un- terlagen. Ungeachtet dessen hat das Bundesverwaltungsgericht im kürzlich ergan- gen Koordinationsurteil E-4103/2024 vom 8. November 2024 (zur Publika- tion als Referenzurteil vorgesehen) festgehalten, dass allein die Tatsache, dass in der Türkei staatsanwaltschaftliche Ermittlungsverfahren wegen «Präsidentenbeleidigung» oder «Propaganda für eine terroristische Orga- nisation» – auch in Kombination – hängig sind, nicht dazu führt, dass türki- sche Asylsuchende in der Schweiz als Flüchtlinge anerkannt werden (ins- besondere a.a.O. E. 8.7.3 und E. 8.8). Demnach kann der Beschwerdeführer mit den eingereichten Dokumenten – unabhängig von deren Echtheit – nur die Phase eines Ermittlungsstadi- ums belegen, und es ist offen, ob das zuständige türkische Gericht eine Anklage als begründet erachten und ein Gerichtsverfahren eröffnen sowie den Beschwerdeführer aus flüchtlingsrechtlich relevanten Gründen zu ei- ner Strafe von flüchtlingsrechtlich relevantem Ausmass verurteilt würde. Wie bereits die Vorinstanz in der angefochtenen Verfügung zu Recht fest- gehalten hat, ist aber auch im Falle eines Gerichtsverfahrens und einer damit verbundenen Verurteilung nicht davon auszugehen, dass der bislang strafrechtlich unbescholtene Beschwerdeführer mit beachtlicher Wahr- scheinlichkeit zu einer unbedingt vollziehbaren und längerdauernden Frei- heitsstrafe verurteilt wird. Schliesslich handelt es sich entgegen seinen</w:t>
      </w:r>
    </w:p>
    <w:p>
      <w:r>
        <w:t>E-4250/2024 Seite 10 Angaben beim eingereichten «Haftbefehl» lediglich um einen sogenannten Vorführbefehl. Dessen Zweck ist ausschliesslich, den Beschwerdeführer in dieser Sache einzuvernehmen. Ob er in Haft genommen werden soll oder nicht, hat der Friedensstrafrichter nach der Einvernahme zu entscheiden. Eine Vorführung zwecks Verhaftung ist gemäss dem eingereichtem Vor- führbefehl nicht vorgesehen, zumal auf diesem explizit vermerkt ist, dass der Beschwerdeführer nach der Aufnahme seiner Aussage wieder freizu- lassen sei.</w:t>
      </w:r>
    </w:p>
    <w:p>
      <w:r>
        <w:rPr>
          <w:b/>
        </w:rPr>
        <w:t>E. 7.4</w:t>
      </w:r>
    </w:p>
    <w:p>
      <w:r>
        <w:t>In Bezug auf die eingereichten Screenshots betreffend die erhaltenen Drohungen ist ferner festzuhalten, dass diese allesamt am (…) 2024 er- folgten, mithin rund einen Monat vor der Ausreise des Beschwerdeführers. Es ist deshalb nicht nachvollziehbar, weshalb der Beschwerdeführer mit seiner Ausreise zuwartete, wenn ihm nach seinen eigenen Angaben eine unmittelbare Gefährdung droht. Ebenso wenig nachvollziehbar ist, dass es nach dem (…) 2024 zu keinen weiteren Drohungen über die Plattform X gekommen sein soll. Es ist daher mit der Vorinstanz davon auszugehen, dass die Nachrichten zuvor bewusst zur Begründung von Asylgründen er- folgten. Diese trifft umso mehr zu, als der Beschwerdeführer bis dato keine Screenshots zu seinen politischen Beiträgen in den sozialen Medien ein- gereicht hat, was nach seinen Angaben bei einer Anzahl von circa 700 Bei- trägen (vgl. act. A12/13 F79) ohne Weiteres zu erwarten wäre.</w:t>
      </w:r>
    </w:p>
    <w:p>
      <w:r>
        <w:rPr>
          <w:b/>
        </w:rPr>
        <w:t>E. 7.5</w:t>
      </w:r>
    </w:p>
    <w:p>
      <w:r>
        <w:t>Zusammenfassend ist festzuhalten, dass die Vorinstanz die Flücht- lingseigenschaft des Beschwerdeführers zu Recht verneint und sein Asyl- gesuch abgelehnt hat.</w:t>
      </w:r>
    </w:p>
    <w:p>
      <w:r>
        <w:rPr>
          <w:b/>
        </w:rPr>
        <w:t>E. 8.1</w:t>
      </w:r>
    </w:p>
    <w:p>
      <w:r>
        <w:t>Lehnt die Vorinstanz das Asylgesuch ab oder tritt es darauf nicht ein, so verfügt sie in der Regel die Wegweisung aus der Schweiz und ordnet den Vollzug an; es berücksichtigt dabei den Grundsatz der Einheit der Fa- 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E-4250/2024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9.3.2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kann der in Art. 5 AsylG verankerte Grundsatz der Nichtrückschiebung im vorliegenden Verfahren keine Anwendung finden. Eine Rückkehr des Beschwerdeführers in die Türkei ist demnach unter dem Aspekt von Art. 5 AsylG rechtmässig. Ferner ergeben sich weder aus den Aussagen des Beschwerdeführers noch aus den Akten Anhaltspunkte dafür, dass er für den Fall einer Aus- schaffung in den Heimatstaat dort mit beachtlicher Wahrscheinlichkeit</w:t>
      </w:r>
    </w:p>
    <w:p>
      <w:r>
        <w:t>E-4250/2024 Seite 12 einer nach Art. 3 EMRK oder Art. 1 FoK verbotenen Strafe oder Behand- lung ausgesetzt wäre.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 zulässig erscheinen. Nach dem Gesagten ist der Vollzug der Wegweisung sowohl im Sinne der landes-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 gehörige der kurdischen Ethnie – auszugehen (vgl. statt vieler Urteile des BVGer E-1327/2024 vom 17. April 2024 E. 8.3.2 m.w.H. sowie das Refe- renzurteil E-1948/2018 vom 12. Juni 2018 E. 7.3.1). Der Beschwerdeführer stammt aus der Provinz B._______, welche im Übrigen auch nicht vom Erdbeben im Frühjahr 2023 betroffen gewesen ist. Insoweit ist der Vollzug der Wegweisung des Beschwerdeführers als zumutbar zu erachten.</w:t>
      </w:r>
    </w:p>
    <w:p>
      <w:r>
        <w:rPr>
          <w:b/>
        </w:rPr>
        <w:t>E. 9.4.3</w:t>
      </w:r>
    </w:p>
    <w:p>
      <w:r>
        <w:t>Auch in individueller Hinsicht sind keine Gründe ersichtlich, die gegen eine Zumutbarkeit der Wegweisung sprechen. Wie bereits durch die Vor- instanz festgestellt, verfügt der Beschwerdeführer neben eines breiten familiären und sozialen Beziehungsnetzes über eine gute schulische Aus- bildung, durch welche er stets in der Lage war, selbstständig für seinen</w:t>
      </w:r>
    </w:p>
    <w:p>
      <w:r>
        <w:t>E-4250/2024 Seite 13 Lebensunterhalt zu sorgen und einer Erwerbstätigkeit nachzugehen (vgl. act. A12/13 F28 und F33 ff.). In Bezug auf die Gesundheit des Beschwerdeführers kann den Akten ent- nommen werden, dass er beidseitig unter einzelnen Zysten in den Nieren sowie gemäss eigenen Aussagen unter psychologischen Beschwerden lei- det, wie beispielsweise Schlafstörungen (vgl. act. A12/13 F5; SEM-Akten 1330966-14/6 sowie 1330966-17/3). Ferner habe er sich im Jahr 20(…) aufgrund des geltend gemachten Angriffs einer Operation am (…) unter- ziehen müssen. Ohne die genannten gesundheitlichen Probleme des Be- schwerdeführers zu verkennen, sprechen diese nicht für eine medizinische Notlage, aufgrund welcher von der Unzumutbarkeit des Wegweisungsvoll- zugs auszugehen wäre (vgl. BVGE 2011/50 E. 8.3 und 2009/2 E. 9.3.2, je m.w.H.). Dies umso mehr als die Türkei über ein funktionierendes Gesund- heitssystem verfügt, welches insbesondere in grösseren Städten dem eu- ropäischen Standard entspricht (vgl. Urteile des BVGer E-2448/2024 vom 15. August 2024 E. 9.3.4; D-1554/2022 vom 29. Juli 2022 E. 9.3.4 m.w.H.). Der Wegweisungsvollzug erweist sich mithin auch in individueller Hinsicht als zumutbar.</w:t>
      </w:r>
    </w:p>
    <w:p>
      <w:r>
        <w:rPr>
          <w:b/>
        </w:rPr>
        <w:t>E. 9.5</w:t>
      </w:r>
    </w:p>
    <w:p>
      <w:r>
        <w:t>Der Beschwerdeführer verfügt über eine türkische Identitätskarte und es ist ihm zuzumuten, sich bei der zuständigen Vertretung des Heimatstaa- tes die für eine Rückkehr allenfalls notwendigen weiteren Reisedokumente zu beschaffen (vgl. Art. 8 Abs. 4 AsylG und dazu auch BVGE 2008/34 E. 12), weshalb der Vollzug der Wegweisung auch als möglich zu bezeich- 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Mit dem vorliegenden Entscheid wird der Antrag auf Gewährung der auf- schiebenden Wirkung der Beschwerde gegenstandslos.</w:t>
      </w:r>
    </w:p>
    <w:p>
      <w:r>
        <w:t>E-4250/2024 Seite 14</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22. Juli 2024 geleistete Kostenvorschuss in der Höhe von Fr. 750.– ist zur Bezahlung der Verfahrenskosten zu verwenden.</w:t>
      </w:r>
    </w:p>
    <w:p>
      <w:r>
        <w:t>(Dispositiv nächste Seite)</w:t>
      </w:r>
    </w:p>
    <w:p>
      <w:r>
        <w:t>E-4250/2024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