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E-424/2010 vom 1. Februar 2010</w:t>
      </w:r>
    </w:p>
    <w:p>
      <w:r>
        <w:t>Bundesverwaltungsgericht, 2010-02-01, FR</w:t>
      </w:r>
    </w:p>
    <w:p>
      <w:r>
        <w:rPr>
          <w:b/>
        </w:rPr>
        <w:t xml:space="preserve">Quelle: </w:t>
      </w:r>
      <w:r>
        <w:t>https://mcp.opencaselaw.ch/entscheid/bvger_E-424_2010</w:t>
      </w:r>
    </w:p>
    <w:p>
      <w:r>
        <w:t>FR: TAF E-424/2010 du 1 février 2010</w:t>
      </w:r>
    </w:p>
    <w:p>
      <w:r>
        <w:t>IT: TAF E-424/2010 del 1 febbraio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 ; cf. également, pour la définition d'un tel empêchement, l'arrêt du 8 décembre 2009 en l'affaire E-423/2009, consid. 6.4, 7 et 8, spéc. consid. 7.3 et 8.4, destiné à la publication).</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Il a certes fait valoir dans son mémoire de recours qu'il allait déposer prochainement son extrait de naissance. Toutefois, jusqu'à ce jour, l'intéressé n'a rien fourni et en plus le document annoncé ne saurait être considéré comme un document d'identité au sens de l'art. 1a OA 1. A l'examen de ses déclarations relatives à ses pièces d'identité, il doit être constaté qu'il s'est contredit en déclarant d'une part avoir laissé sa carte d'identité au village et d'autre part avoir voyagé en partie muni de celle-ci. De plus, au vu de son cursus scolaire, il est pour le moins surprenant que l'intéressé n'ait pas été en mesure d'indiquer le nom du port ou encore celui du pays, où il serait arrivé en bateau. Ce fait est d'autant plus surprenant qu'il a déclaré avoir étudié le français, l'anglais et le portugais, de sorte qu'on pouvait raisonnablement attendre de sa part qu'il identifie correctement le lieu d'accostage du bateau et ce, indépendamment de l'heure d'arrivée. Compte tenu de ce qui précède, il est permis de conclure que le recourant cherche à cacher les véritables circonstances de sa venue en Suisse et qu'il a en réalité voyagé en étant muni de ses documents d'identité et de voyage.</w:t>
      </w:r>
    </w:p>
    <w:p>
      <w:r>
        <w:rPr>
          <w:b/>
        </w:rPr>
        <w:t>E. 3.1.1</w:t>
      </w:r>
    </w:p>
    <w:p>
      <w:r>
        <w:t>C'est en outre à juste titre que l'ODM a estimé que la qualité de réfugié n'était pas établie au terme de son audition (art. 32 al. 3 let. b LAsi). En effet, après un examen des déclarations de l'intéressé, la vraisemblance du récit présenté à la base de sa demande d'asile ne peut être admise. Ainsi, non seulement le recourant n'a fourni aucun moyen de preuve de ses allégations, mais encore, ses allégations doivent être considérées comme complètement fantaisistes, tant il est peu concevable que la recette annuelle à distribuer à un ensemble d'agriculteurs ait pu être confiée, sans aucune précaution de la banque, au recourant et à son oncle, de la manière décrite. De plus, il est peu réaliste que l'intéressé et son parent, alors qu'ils auraient été agressés au point de nécessiter une hospitalisation d'une semaine, aient été en mesure de parcourir à pieds une distance de quatorze kilomètres en une heure. Enfin, indépendamment de la question de leur vraisemblance, les allégués de l'intéressé ne sont, en outre, manifestement pas pertinents en matière d'asile, dès lors que la seule convocation par la police dans le cadre d'une enquête pénale pour vol ne constitue pas, en soi, un sérieux préjudice au sens de l'art. 3 LAsi ne pouvant être mise en relation avec la race, la religion, la nationalité, l'appartenance à un groupe social déterminé ou des opinions politiques. Le recourant n'a également pas rendu vraisemblable qu'il ne pourrait pas bénéficier d'une procédure équitable dans le cadre de l'enquête en question dans son pays d'origine. L'intéressé n'ayant apporté aucun nouvel argument ou moyen de preuve susceptibles de remettre en cause le bien-fondé de la décision attaquée, le Tribunal ne peut que partager l'appréciation faite par l'autorité de première instance dans la décision attaquée.</w:t>
      </w:r>
    </w:p>
    <w:p>
      <w:r>
        <w:rPr>
          <w:b/>
        </w:rPr>
        <w:t>E. 3.2</w:t>
      </w:r>
    </w:p>
    <w:p>
      <w:r>
        <w:t>Les motifs d'asile du recourant étant manifestement sans fondement, il n'est pas nécessaire de procéder à d'autres mesures d'instruction pour établir sa qualité de réfugié, selon l'art. 32 al. 3 let. c LAsi. Par ailleurs, et compte tenu des considérants figurant ci-après, il n'y a pas lieu d'ordonner de mesures d'instruction tendant à constater l'existence d'un empêchement à l'exécution du renvoi, au sens de cette disposition légale (cf. aussi l'arrêt du 8 décembre 2009 en l'affaire E-423/2009, déjà cité).</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du recourant, mais également eu égard à la situation personnelle de celui-ci. En effet, celui-ci est encore jeune, au bénéfice d'expériences professionnelles diverses et il ne ressort pas du dossier qu'il souffre d'un problème de santé qui pourrait faire obstacle à l'exécution de son renvoi. En outre, il dispose d'un réseau familial dans son pays d'origine (cf. en particulier pt. 12 du pv de la première audition) qui pourra le soutenir lors de son retour.</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Vu l'issue de la procédure, il y a lieu de mettre les frais (600 francs)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