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E-4241/2014 vom 26. Februar 2015</w:t>
      </w:r>
    </w:p>
    <w:p>
      <w:r>
        <w:t>Bundesverwaltungsgericht, 2015-02-26, DE</w:t>
      </w:r>
    </w:p>
    <w:p>
      <w:r>
        <w:rPr>
          <w:b/>
        </w:rPr>
        <w:t xml:space="preserve">Quelle: </w:t>
      </w:r>
      <w:r>
        <w:t>https://mcp.opencaselaw.ch/entscheid/bvger_E-4241_2014</w:t>
      </w:r>
    </w:p>
    <w:p>
      <w:r>
        <w:t>FR: TAF E-4241/2014 du 26 février 2015</w:t>
      </w:r>
    </w:p>
    <w:p>
      <w:r>
        <w:t>IT: TAF E-4241/2014 del 26 febbraio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insoweit einzutreten.</w:t>
      </w:r>
    </w:p>
    <w:p>
      <w:r>
        <w:rPr>
          <w:b/>
        </w:rPr>
        <w:t>E. 1.2</w:t>
      </w:r>
    </w:p>
    <w:p>
      <w:r>
        <w:t>Die Beschwerde richtet sich ausschliesslich gegen die Nichtfeststellung der Flüchtlingseigenschaft, die Nichtgewährung von Asyl sowie die verfügte Wegweisung, weshalb die Ziffern 4 bis 7 des Dispositivs der Verfügung des BFM vom 26. Juni 2014, welche den Vollzug der Wegweisung und damit die angeordnete vorläufige Aufnahme betreffen, nicht Prozessgegenstand des vorliegenden Beschwerdeverfahrens bilden. Entsprechend sind die Anträge auf andere beziehungsweise ergänzende Begründung der vorläufigen Aufnahme sowie auf deren zusätzliche Bestätigung durch das Gericht unzulässig. Zudem fehlt ihnen ein schutzwürdiges Interesse (Art. 48 Abs. 1 Bst. c VwVG), weshalb auf die Beschwerde insoweit nicht einzutreten ist.</w:t>
      </w:r>
    </w:p>
    <w:p>
      <w:r>
        <w:rPr>
          <w:b/>
        </w:rPr>
        <w:t>E. 2.1</w:t>
      </w:r>
    </w:p>
    <w:p>
      <w:r>
        <w:t>Infolge ehelicher Verbindung und gemeinsamer Kinder der Beschwerdeführerin mit dem Beschwerdeführer des Beschwerdeverfahrens E-4238/2014 werden diese Verfahren insoweit koordiniert, als die Urteile vom gleichen Spruchkörper behandelt und zeitgleich ergehen werden. Darüber hinaus ist ohne weiteres selbstverständlich, dass allfällige Erkenntnisse aus dem einen Verfahren im anderen Verfahren Berücksichtigung finden. Da das BFM jedoch zwei getrennte Verfügungen erlassen hat, wird das Bundesverwaltungsgericht auch zwei separate Entscheide erlassen. Soweit der Antrag auf Vereinigung der beiden Verfahren durch die gemeinsame Behandlung nicht ohnehin gegenstandslos geworden ist, ist er abzuweisen.</w:t>
      </w:r>
    </w:p>
    <w:p>
      <w:r>
        <w:rPr>
          <w:b/>
        </w:rPr>
        <w:t>E. 2.2</w:t>
      </w:r>
    </w:p>
    <w:p>
      <w:r>
        <w:t>In Anwendung von Art. 111a Abs. 1 AsylG hat das Bundesverwaltungsgericht in diesem Beschwerdeverfahren auf die Durchführung eines Schriftenwechsels verzichtet.</w:t>
      </w:r>
    </w:p>
    <w:p>
      <w:r>
        <w:rPr>
          <w:b/>
        </w:rPr>
        <w:t>E. 3</w:t>
      </w:r>
    </w:p>
    <w:p>
      <w:r>
        <w:t>Das Bundesverwaltungsgericht überprüft die angefochtene Verfügung auf Verletzung von Bundesrecht, einschliesslich Missbrauch und Überschreitung des Ermessens, sowie auf unrichtige und unvollständige Feststellung des rechtserheblichen Sachverhalts hin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Die Anforderungen an das Glaubhaftmachen hat das Bundesverwaltungsgericht in einem jüngeren Entscheid dargelegt und folgt dabei ständiger Praxis. Darauf kann hier verwiesen werden (BVGE 2010/57 E. 2.2 und 2.3).</w:t>
      </w:r>
    </w:p>
    <w:p>
      <w:r>
        <w:rPr>
          <w:b/>
        </w:rPr>
        <w:t>E. 5.1</w:t>
      </w:r>
    </w:p>
    <w:p>
      <w:r>
        <w:t>Die Vorinstanz gelangt in der angefochtenen Verfügung zum Schluss, die Vorbringen der Beschwerdeführerin würden weder den Anforderungen an die Flüchtlingseigenschaft gemäss Art. 3 AsylG noch denjenigen an das Glaubhaftmachen gemäss Art. 7 AsylG standhalten. Die Beschwerdeführerin mache mit der Festnahme Ausreisegründe geltend, die sich 2008 zugetragen hätten und für die Ausreise 2011 nicht ursächlich seien, weshalb ihnen die Asylrelevanz fehle. Den weiteren Vorbringen fehle es dagegen an der Glaubhaftigkeit.</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mit Verweisen).</w:t>
      </w:r>
    </w:p>
    <w:p>
      <w:r>
        <w:rPr>
          <w:b/>
        </w:rPr>
        <w:t>E. 5.3</w:t>
      </w:r>
    </w:p>
    <w:p>
      <w:r>
        <w:t>Mit Blick auf die soeben aufgeführten Kriterien der Glaubhaftmachung kommt das Bundesverwaltungsgericht nach Prüfung der Akten zum Ergebnis, dass die Vorinstanz den Massstab des Glaubhaftmachens im vorliegenden Fall zu eng angewendet hat.</w:t>
      </w:r>
    </w:p>
    <w:p>
      <w:r>
        <w:rPr>
          <w:b/>
        </w:rPr>
        <w:t>E. 5.4</w:t>
      </w:r>
    </w:p>
    <w:p>
      <w:r>
        <w:t>Der Beschwerdeführerin ist zuzustimmen, dass zwischen ihren - je nach Fragekontext unterschiedlich dichten - Schilderungen der Geschehnisse rund um die Demonstration sowie die ihr vorausliegenden und nachfolgenden Tage keine relevanten Unstimmigkeiten nachgewiesen werden können. Dies betrifft, entgegen der vorinstanzlichen Auffassung, gerade auch die Angaben darüber, wie sie und ihr Mann von der Demonstration erfahren haben, zumal die in der Rechtsmitteleingabe dargelegten Sachverhalte die vorgängigen Schilderungen in plausibler Weise ergänzen, so dass das Gericht keinen Grund sieht, an ihnen zu zweifeln. Angesichts der Tatsache, dass zwischen den beiden Anhörungen zweieinhalb Jahre verstrichen sind und die Beschwerdeführerin in der Zwischenzeit ihren behinderten Sohn betreuen musste sowie einen zweiten Sohn geboren hat, kann man ihr nicht zum Vorwurf machen, dass gewisse Sachverhaltselemente vergessen gehen oder ihnen im Nachhinein mehr oder weniger Bedeutung zugemessen wird, zumal die von der Vorinstanz angeführten Unstimmigkeiten zwischen den Befragungen ihre in den wesentlichen Punkten deckungsgleichen Schilderungen nicht zu beeinträchtigen vermögen. Der Beschwerdeführerin gelingt es insgesamt, über die Geschehnisse an den Folgetagen der Demonstration sowie über die weiteren Ausreisemodalitäten sehr anschaulich, ausführlich und kohärent zu berichten (vgl. Akten BFM, A50/16, S. 4 f.).</w:t>
      </w:r>
    </w:p>
    <w:p>
      <w:r>
        <w:rPr>
          <w:b/>
        </w:rPr>
        <w:t>E. 5.5</w:t>
      </w:r>
    </w:p>
    <w:p>
      <w:r>
        <w:t>Die glaubhaft gemachten Asylvorbringen der Beschwerdeführerin sind auch asylrelevant. Dies gilt bereits für den Zeitpunkt der Ausreise der Beschwerdeführerin aus Syrien im März 2011. Der für das Jahr 2008 angeführten Festnahme hat die Vorinstanz zwar zu Recht die Ursächlichkeit für die Ausreise im Jahr 2011 und damit die Asylrelevanz abgesprochen. Nichtsdestotrotz muss davon ausgegangen werden, dass die Beschwerdeführerin als Tochter eines lokalen Führers der kurdischen Partei und aufgrund ihres politischen Engagements für die kurdische Kultur - zumal seit ihrer Verhaftung in diesem Zusammenhang - den Behörden bekannt war. Weiter ist zu berücksichtigen, dass die politische und menschenrechtliche Lage in Syrien seit der Ausreise der Beschwerdeführerin erhebliche Veränderungen erfahren hat (vgl. anstelle vieler etwa: Amnesty International, Report 2013, London 2013, S. 258 ff.; Human Rights Watch [HRW], World Report 2014 - Syria, Januar 2014; dies., Razed to the Ground - Syria's Unlawful Neighborhood Demolitions 2012-2013, Januar 2014; International Crisis Group [ICG], Syria's Metastasising Conflicts. Middle East Report N°143, Juni 2013; United Nations Human Rights Council, Report of the Independent International Commission of Inquiry on the Syrian Arab Republic, Version vom 12. Februar 2014; ebd., Version vom 13. August 2014; U. S. Congressional Research Service, Armed Conflict in Syria: Overview and U. S. Response, Version vom 10. September 2014; U. S. Department of State/Bureau of Democracy, Human Rights and Labor, 2013 Country Reports on Human Rights Practices: Syria, Februar 2014). Namentlich aufgrund der glaubhaft gemachten politischen Betätigung und der familiären Bekanntheit hatte die Beschwerdeführerin bereits im Zeitpunkt ihrer Ausreise begründete Furcht, ernsthaften Nachteilen im Sinne von Art. 3 AsylG ausgesetzt zu sein. Sie hat es noch immer. Damit erfüllt sie die Flüchtlingseigenschaft.</w:t>
      </w:r>
    </w:p>
    <w:p>
      <w:r>
        <w:rPr>
          <w:b/>
        </w:rPr>
        <w:t>E. 6</w:t>
      </w:r>
    </w:p>
    <w:p>
      <w:r>
        <w:t>Aus den angestellten Erwägungen ergibt sich, dass die Beschwerdeführerin die Flüchtlingseigenschaft im Sinne von Art. 3 AsylG erfüllt. Gestützt auf Art. 51 Abs. 1 AsylG haben auch ihre minderjährigen Kinder Anspruch auf Anerkennung als Flüchtlinge. Folglich ist die Beschwerde gutzuheissen, soweit auf sie einzutreten ist. Die angefochtene Verfügung ist aufzuheben und die Vorinstanz anzuweisen, die Beschwerdeführerin mit ihren Kindern als Flüchtling anzuerkennen und ihnen in der Schweiz Asyl zu gewähren.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den mutmasslichen Aufwand des Rechtsvertreters ist die Parteientschädigung auf Fr. 1'200.- (inkl. Auslagen und Mehrwertsteuer) festzusetzen. Die Vorinstanz ist anzuweisen, der Beschwerdeführerin diesen Betrag zu entrichten. Die Anträge auf unentgeltliche Rechtspflege, unentgeltliche Verbeiständung sowie Verzicht auf Erhebung eines Kostenvorschusses sind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