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E-4241/2011 vom 29. August 2013</w:t>
      </w:r>
    </w:p>
    <w:p>
      <w:r>
        <w:t>Bundesverwaltungsgericht, 2013-08-29, DE</w:t>
      </w:r>
    </w:p>
    <w:p>
      <w:r>
        <w:rPr>
          <w:b/>
        </w:rPr>
        <w:t xml:space="preserve">Quelle: </w:t>
      </w:r>
      <w:r>
        <w:t>https://mcp.opencaselaw.ch/entscheid/bvger_E-4241_2011</w:t>
      </w:r>
    </w:p>
    <w:p>
      <w:r>
        <w:t>FR: TAF E-4241/2011 du 29 août 2013</w:t>
      </w:r>
    </w:p>
    <w:p>
      <w:r>
        <w:t>IT: TAF E-4241/2011 del 29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Der Beschwerdeführer macht vorweg eine Verletzung formellen Rechts geltend und bringt vor, die Vorinstanz habe das rechtliche Gehör in mehrfacher Hinsicht verletzt.</w:t>
      </w:r>
    </w:p>
    <w:p>
      <w:r>
        <w:rPr>
          <w:b/>
        </w:rPr>
        <w:t>E. 4.1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 die Vorbringen tatsächlich zu hören, ernsthaft zu prüfen und in der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dagegen, dass sich die Begründung mit allen Parteistandpunkten einlässlich auseinandersetzt und jedes einzelne Vorbringen ausdrücklich widerlegt (vgl. BGE 136 I 184 E. 2.2.1 S. 188). 4.24.2.1 Soweit der Rechtsvertreter sinngemäss vorbringt, der Anspruch des Beschwerdeführers auf rechtliches Gehör sei dadurch verletzt worden, dass ihm das BFM keine Einsicht in die Akten F15, F16 und F17 gewährt hatte, ist Folgendes festzuhalten: Mit Zwischenverfügung vom 6. Oktober 2011 wurde dem Beschwerdeführer Einsicht in die Akten F15 und F17 gewährt, die Einsicht in die Akte F16 wurde ihm dagegen mit genannter Zwischenverfügung verweigert. Gleichzeitig wurde ihm Frist angesetzt zur Beschwerdeergänzung, wovon er mit Eingabe vom 21. Oktober 2011 Gebrauch gemacht hat. Mit der Zwischenverfügung vom 6. Oktober 2011 und der Stellungnahme des Beschwerdeführers vom 21. Oktober 2011 ist seinem Anspruch auf rechtliches Gehör diesbezüglich, soweit dieser als verletzt zu erkennen ist, im Rahmen des Beschwerdeverfahrens Genüge getan worden. Der Verfahrensmangel ist demnach als geheilt zu erachten. 4.2.2 Der Beschwerdeführer rügt ferner, das BFM habe seine aus dem Anspruch auf rechtliches Gehör resultierende Begründungspflicht verletzt, indem es alle Beweismittel ausser den als gefälscht erachteten Gerichtsunterlagen mit keinem Wort erwähnt habe und sein Vorbringen, in Sri Lanka würde er wegen seines früheren Engagements für die TELO verhaftet, ausser Acht gelassen. Das BFM hat in der angefochtenen Verfügung nachvollziehbar und im Einzelnen hin­reichend differenziert - mithin mit genügender Begründungsdichte - aufgezeigt, weshalb es zum Schluss gelangt ist, dass das vierte Asylgesuch abzuweisen sei. Dass es nicht zu jedem Punkt im Asylgesuch ausdrücklich Stellung genommen hat, ist nicht als ungenügende Begründung aufzufassen, zumal die Beweismittel, die darauf abzielen, das behauptete Engagements des Beschwerdeführers für die TELO nachzuweisen, wie unten dargelegt wird (vgl. E. 7), nicht gehört werden können und es sich beim Vorbringen, er werde wegen seines Engagements für die TELO von den sri-lankischen Behörden gesucht, entgegen dem vierten Asylgesuch nicht um ein neues Ereignis, sondern um das Thematisieren eines bereits behandelten Vorbringens in neuer Form handelt. Im Übrigen konnte der Beschwerdeführer der aus seiner Sicht unzutreffenden und unvollständigen Begründung auf Beschwerdeebene begegnen. Die Beschwerde selbst zeigt denn auch, dass eine sachgerechte Anfechtung möglich war. Der Begründungspflicht ist damit Genüge getan.</w:t>
      </w:r>
    </w:p>
    <w:p>
      <w:r>
        <w:rPr>
          <w:b/>
        </w:rPr>
        <w:t>E. 5</w:t>
      </w:r>
    </w:p>
    <w:p>
      <w:r>
        <w:t>Die Rüge der unvollständigen und unrichtigen Sachverhaltserhebung wird nicht näher begründet und ihre Begründetheit ist auch nicht ersichtlich, weshalb darauf nicht weiter einzugehen ist.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Beim einem Folgeantrag können lediglich Ereignisse auf ihre Asylrelevanz überprüft werden, welche sich seit dem rechtskräftigen Abschluss des letzten Asylverfahrens ereignet haben, nicht aber Ereignisse, welche bereits in einem früheren Asylverfahren behandelt worden sind oder hätten geltend gemacht werden können (Art. 32 Abs. 1 Bst. e AsylG).</w:t>
      </w:r>
    </w:p>
    <w:p>
      <w:r>
        <w:rPr>
          <w:b/>
        </w:rPr>
        <w:t>E. 7</w:t>
      </w:r>
    </w:p>
    <w:p>
      <w:r>
        <w:t>Die Vorbringen, der Beschwerdeführer sei ranghohes Mitglied der TELO gewesen und die Berichterstattung seiner Verurteilung in der Schweiz habe eine neue Verfolgungsgefahr geschaffen, sind bereits im Urteil vom 9. September 2009 materiell behandelt worden und können daher nicht mehr Gegenstand des vorliegenden Asylverfahrens bilden. Bei keinem der Vorbringen im vierten Asylgesuch handelt es sich um Ereignisse, welche seit rechtskräftigem Abschluss des letzten Asylverfahrens, mithin seit dem 9. September 2009 eingetreten wären. Vielmehr versucht der Beschwerdeführer, seine bisherigen Vorbringen in einem neuen Licht zu thematisieren, und reicht er neue Beweismittel für unbewiesen gebliebene Tatsachen ein. Dem ist entgegenzuhalten, dass die fortwährende Suche nach dem Beschwerdeführer durch die sri-lankischen Behörden kein neues Ereignis darstellt, sondern die behauptete Aktualität der bisherigen - bereits materiell behandelten - Vorbringen. Da die diesem Vorbringen zugrundeliegende Tatsache, dass er ranghohes Mitglied der TELO gewesen sein soll, bereits rechtskräftig für unglaubhaft befunden worden ist, vermag die vorgeblich neue Konstellation, nämlich vom sri-lankischen Staat und nicht mehr von den LTTE gesucht zu werden, daran nichts zu ändern. Beweismittel, welche sich auf in früheren Verfahren bereits beurteilte Tatsachenbehauptungen beziehen, können nicht mehr gewürdigt werden. Dies gilt für die angeblich liquiden Beweise für seine ranghohe TELO-Mitgliedschaft. Entgegen der Beschwerde können diesbezüglich auch nicht Revisionsgründe im Rahmen eines vierten Asylgesuchs angerufen werden, wenn die Verwirkungsfrist für eine Revision abgelaufen ist. Diejenigen Beweismittel (Gerichtsunterlagen), die vom BFM bereits im Verfahren vor dem CAT als Fälschungen befunden worden sind, sind von vornherein ungeeignet, eine Verfolgungsgefahr nachzuweisen. Einerseits geht es um weit zurück liegende Sachverhalte, die sich nicht seit dem Abschluss des letzten Asylverfahrens ereignet haben. Andrerseits entsprechen sie nicht den protokollierten Aussagen des Beschwerdeführers. So gab dieser auf den Umstand angesprochen, dass die eingereichten Gerichtsunterlagen gefälscht seien, an, deren Inhalt nicht zu kennen und davon auszugehen, dass sie sich auf seine Verhaftung im Jahre 1983 bezögen, obwohl er in den Anhörungen nicht angegeben hatte, im Jahre 1983 verhaftet worden zu sein. Demnach hat das BFM das vierte Asylgesuch zu Recht abgewiesen.</w:t>
      </w:r>
    </w:p>
    <w:p>
      <w:r>
        <w:rPr>
          <w:b/>
        </w:rPr>
        <w:t>E. 8.1</w:t>
      </w:r>
    </w:p>
    <w:p>
      <w:r>
        <w:t>Lehnt das Bundesamt das Asylgesuch ab oder tritt es darauf nicht ein, so verfügt es in der Regel die Wegweisung aus der Schweiz und ordnet den Vollzug der Wegweisung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9.1</w:t>
      </w:r>
    </w:p>
    <w:p>
      <w:r>
        <w:t>Ist der Vollzug der Wegweisung nicht zulässig, nicht zumutbar oder nicht möglich, so regelt das Bundesamt das Anwesenheitsverhältnis nach den gesetzlichen Bestimmungen über die vorläufige Aufnahme (Art. 44 Abs. 2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entgegen der Beschwerde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Die Vorinstanz hat dem Beschwerdeführer, wie bereits in früheren Verfügungen, in Anwendung von Art. 83 Abs. 7 AuG die vorläufige Aufnahme verweigert. Wie bereits im Urteil vom 9. September 2009 festgestellt worden ist (vgl. Bst. F.c), ändert die Verbüssung der Strafe entgegen der Beschwerde am Überwiegen des öffentlichen Interesses der Schweiz am Wegweisungsvollzug gegenüber den privaten Interessen des Beschwerdeführers am weiteren Verbleib in der Schweiz nichts. Die Prüfung der Zumutbarkeit des Vollzugs erübrigt sich unter diesen Voraussetzungen.</w:t>
      </w:r>
    </w:p>
    <w:p>
      <w:r>
        <w:rPr>
          <w:b/>
        </w:rPr>
        <w:t>E. 9.6</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9.7</w:t>
      </w:r>
    </w:p>
    <w:p>
      <w:r>
        <w:t>Zusammenfassend hat die Vorinstanz den Wegweisungsvollzug zu Recht als zulässig, zumutbar und möglich erachtet. Eine Anordnung der vorläufigen Aufnahme fällt somit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11</w:t>
      </w:r>
    </w:p>
    <w:p>
      <w:r>
        <w:t>Bei diesem Ausgang des Verfahrens sind die Verfahrenskosten dem Beschwerdeführer aufzuerlegen (Art. 63 Abs. 1 VwVG). Auf Grund des sich aus dem im Beschwerdeverfahren produzierten Aktenumfang ergebenden erhöhten Aufwands sind diese auf insgesamt Fr. 900.- festzusetzen (Art. 1-3 des Reglements vom 21. Februar 2008 über die Kosten und Entschädigungen vor dem Bundesverwaltungsgericht [VGKE, SR 173.320.2]). Soweit mit der Beschwerde zu Recht Verfahrensmängel gerügt worden waren, wurden diese durch die Rechtsmittelinstanz geheilt (vgl. E. 4.2.1). Mit Blick darauf erscheint es gerechtfertigt, die Verfahrenskosten in Anwendung von Art. 6 Bst. b VGKE zu ermässigen (vgl. dazu André Moser/Michael Beusch/Lorenz Kneubühler, Prozessieren vor dem Bundesverwaltungsgericht, Basel 2008, S. 212, Rz. 4.60). Eine Reduktion der Verfahrenskosten auf Fr. 600.- erscheint angemessen. Dieser Betrag ist mit dem in gleicher Höhe geleisteten Kostenvorschuss zu verrechnen.</w:t>
      </w:r>
    </w:p>
    <w:p>
      <w:r>
        <w:rPr>
          <w:b/>
        </w:rPr>
        <w:t>E. 12</w:t>
      </w:r>
    </w:p>
    <w:p>
      <w:r>
        <w:t>Die Beschwerdeinstanz kann nur der ganz oder teilweise obsiegenden Partei von Amtes wegen oder auf Begehren eine Entschädigung für ihr erwachsene notwendige und verhältnismässig hohe Kosten zusprechen (Art. 64 Abs. 1 VwVG i.V.m. Art. 7 Abs. 2 VGKE). Sind die Kosten verhältnismässig gering, kann von einer Parteientschädigung abgesehen werden (Art. 7 Abs. 3 VGKE). Die Rüge der Verletzung des Akteneinsichtsrechts rechtfertigt keine Entschädigung. Auf Grund der Aktenlage, des geringen Aufwandes zur Begründung der Rüge sowie in Anbetracht dessen, dass der Beschwerdeführer aus den betreffenden Akten, wären sie ihm bereits von der Vorinstanz ediert worden, für sein Verfahren nichts zu seinen Gunsten hätte abzuleiten vermögen, ist auf die Ausrichtung einer Parteientschädigung wegen verhältnismässig geringer Kosten zu verzichten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