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E-4241/2010 vom 27. April 2012</w:t>
      </w:r>
    </w:p>
    <w:p>
      <w:r>
        <w:t>Bundesverwaltungsgericht, 2012-04-27, FR</w:t>
      </w:r>
    </w:p>
    <w:p>
      <w:r>
        <w:rPr>
          <w:b/>
        </w:rPr>
        <w:t xml:space="preserve">Quelle: </w:t>
      </w:r>
      <w:r>
        <w:t>https://mcp.opencaselaw.ch/entscheid/bvger_E-4241_2010</w:t>
      </w:r>
    </w:p>
    <w:p>
      <w:r>
        <w:t>FR: TAF E-4241/2010 du 27 avril 2012</w:t>
      </w:r>
    </w:p>
    <w:p>
      <w:r>
        <w:t>IT: TAF E-4241/2010 del 27 aprile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Le Tribunal examine librement en la matière l'application du droit fédéral, la constatation des faits et l'opportunité, sans être lié par les arguments invoqués à l'appui du recours (art. 106 al. 1 LAsi et art. 62 al.4 PA par renvoi de l'art. 6 LAsi et de l'art 37 LTAF) ni par la motivation retenue par l'ODM (ATAF 2009/57 consid.1.2 p. 798 ; cf. dans le même sens Jurisprudence et informations de la Commission suisse de recours en matière d'asile [JICRA] 2002 n°1 consid. 1a p.5, JICRA 1994 n°29 consid.3 p. 206s.). Il peut ainsi admettre un recours pour un autre motif que ceux invoqués devant lui ou rejeter un recours en adoptant une argumentation différente de celle de l'autorité intimée (cf. ATAF 2007/41 consid. 2 p. 529s.).</w:t>
      </w:r>
    </w:p>
    <w:p>
      <w:r>
        <w:rPr>
          <w:b/>
        </w:rPr>
        <w:t>E. 2.2</w:t>
      </w:r>
    </w:p>
    <w:p>
      <w:r>
        <w:t>A l'instar de l'ODM, le Tribunal s'appuie sur la situation prévalant au moment de l'arrêt s'agissant de la crainte de persécutions futures ou de motifs d'empêchement à l'exécution du renvoi, que ceux-ci soient d'ordre juridique ou pratique (cf. ATAF 2009/29 consid. 5.1 p. 376, ATAF 2008/12 consid. 5.2 p. 154s., ATAF 2008/4consid. 5.4 p. 38s. ; arrêts du Tribunal administratif fédéral D-7561/2008 consid. 1.4 du 15 avril 2010, D-3753/2006 consid. 1.5 du 2 novembre 2009, D-7040/2006 consid. 1.5 du 28 juillet 2009 et D-6607/2006 consid.1.5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motifs d'asile invoqués par l'intéressé ne satisfont pas au critère de vraisemblance énoncé par l'art. 7 LAsi.</w:t>
      </w:r>
    </w:p>
    <w:p>
      <w:r>
        <w:rPr>
          <w:b/>
        </w:rPr>
        <w:t>E. 4.2</w:t>
      </w:r>
    </w:p>
    <w:p>
      <w:r>
        <w:t>En l'occurrence, force est de constater d'abord que les circonstances dans lesquelles l'intéressé a réussi à s'enfuir de la presqu'île où il aurait été détenu, ne sont pas vraisemblables : il paraît d'abord peu crédible que dix jours après son internement par les LTTE dans le camp proche de (...), l'intéressé ait eu, selon ses propos, "la chance" (sic) d'être nommé surveillant (cf. procès-verbal d'audition du 30 août 2007, p. 7) ; il s'avère ensuite tout aussi peu crédible que les deux autres personnes chargées, comme lui, de monter la garde, soient allées dormir précisément ce soir-là, en même temps, et qu'elles aient ainsi violé leur devoir de surveillance, tout en laissant libre champ au recourant de leur fausser compagnie ; enfin, le fait qu'il ait entrepris la traversée de la mer à pied, puis à bord d'un bateau de pêche rencontré par hasard, constitue également un enchaînement de circonstances par trop favorable pour être crédible. Quant aux circonstances dans lesquelles l'intéressé déclare avoir quitté son pays, celles-ci ne s'avèrent pas plus vraisemblables. Force est de constater ici que le recourant a atteint, selon ses déclarations, le niveau d'instruction "O" et qu'en 2002, (...), il a pris part à des manifestations estudiantines. Au bénéficie d'un bon niveau d'instruction, l'intéressé donne cependant un récit à la fois stéréotypé, lacunaire et peu crédible de son voyage jusqu'en Suisse : s'agissant de ses documents de voyage, le recourant aurait reçu du passeur un passeport sri-lankais établi au nom de "D._______", selon ses premières déclarations, (cf. procès verbal d'audition du 30 août 2007, p. 4) et à un nom inconnu de lui, selon ses propos ultérieurs (cf. procès-verbal d'audition du 30 novembre 2007, p. 10). A cela s'ajoute que le recourant ignore le nom de la compagnie d'aviation avec laquelle il a voyagé ainsi que le nom du pays où son avion a fait escale, ce qui semble difficilement concevable de la part d'un voyageur passant des contrôles aéroportuaires particulièrement sévères. Qui plus est, le passeur aurait conservé le billet d'avion ainsi que le passeport, une fois arrivé à Genève. Toutes ces déclarations particulière-ment stéréotypées masquent toutefois mal l'intention qu'on est en droit de prêter à l'intéressé de dissimuler les vraies circonstances de sa venue en Suisse . S'agissant, enfin, du financement du voyage, le recourant a précisé lors de sa première audition qu'un oncle de son ami avait financé le voyage (cf. procès verbal d'audition du 30 août 2007, p. 3). Quelques mois plus tard, cependant il a déclaré que c'était son père qui avait payé le voyage (cf. procès verbal d'audition du 30 novembre 2007, p. 9). A cette diver-gence, vient encore s'ajouter l'invraisemblance des déclarations selon lesquelles le recourant ignore jusqu'au prix qu'a coûté son voyage. Un tel degré d'ignorance s'accorde mal, là aussi, avec le niveau d'instruction du recourant.</w:t>
      </w:r>
    </w:p>
    <w:p>
      <w:r>
        <w:rPr>
          <w:b/>
        </w:rPr>
        <w:t>E. 4.3</w:t>
      </w:r>
    </w:p>
    <w:p>
      <w:r>
        <w:t>Revenant sur les conditions entourant la libération de l'intéressé du camp de (...), le Tribunal constate que le récit s'avère particulièrement inconstant et inconsistant. Le recourant a exposé dans son recours, en complément aux explications données lors de ses auditions, qu'il allait prendre contact avec le prêtre, un certain E._______, qui aurait négocié sa libération du camp militaire, afin d'obtenir de sa part un document écrit. Or, ses démarches ne semblent pas avoir abouti. Au demeurant, le Tribunal observe que lors de ses auditions, l'intéressé n'a jamais mentionné l'intervention d'un prêtre dans le cadre de sa libération du camp militaire précité (cf. procès-verbal de l'audition du 30 novembre 2007, p. 8). Il s'ensuit que les propos du requérant relatifs à sa libération ne saurait être prise au sérieux. Il en va de même de ses déclarations, évasives, portant sur ses conditions d'existence après sa sortie du camp de (...).</w:t>
      </w:r>
    </w:p>
    <w:p>
      <w:r>
        <w:rPr>
          <w:b/>
        </w:rPr>
        <w:t>E. 4.4</w:t>
      </w:r>
    </w:p>
    <w:p>
      <w:r>
        <w:t>Compte tenu de l'absence de crédibilité des conditions et des circonstances dans lesquelles l'intéressé aurait été libéré du camp de (...) puis aurait gagner la Suisse, il est permis de douter de l'origine à laquelle le recourant prétend faire remonter ses préjudices. Au demeurant, force est de constater que ses déclarations à ce sujet se révèlent stéréotypées. Certes, le rapport médical de (...) daté du (...) juillet 2010 mentionne, sous la rubrique "diagnostic", la présence d'un syndrome de stress post-traumatique, un état dépressif sévère, des lésions corporelles compatibles avec des séquelles de mauvais traitements. Toutefois, ce rapport ne précise ni la nature ni la gravité ni l'emplacement ni le nombre des lésions corporelles relevées ; il se borne à indiquer leur compatibilité avec des séquelles de mauvais traitements. Or, au chapitre des tortures subies, l'intéressé a notamment déclaré avoir été brûlé aux bras avec une cigarette (cf. procès-verbal de l'audition du 30 novembre 2007, p. 7). Force est dès lors de constater que ledit rapport ne fait pas état de traces de brûlures. Autrement dit, si des lésions corporelles ont certes été constatées, le Tribunal observe qu'elles ne traduisent pas la matérialité physique des mauvais traitements tels que décrits par le recourant et ne peuvent, en tout état de cause, être mises en rapport avec les événements que le recourant prétend avoir vécus.</w:t>
      </w:r>
    </w:p>
    <w:p>
      <w:r>
        <w:rPr>
          <w:b/>
        </w:rPr>
        <w:t>E. 4.5</w:t>
      </w:r>
    </w:p>
    <w:p>
      <w:r>
        <w:t>Dans ces circonstances,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En l'espèce, l'ODM, dans sa décision rendue le 7 mai 2010, a considéré que l'exécution du renvoi de l'intéressé n'était pas en l'état raisonnablement exigible et l'a, de ce fait, admis provisoirement en Suisse. Le Tribunal prend donc acte de cette mesure de substitution du renvoi ordonnée par l'autorité de première instance.</w:t>
      </w:r>
    </w:p>
    <w:p>
      <w:r>
        <w:rPr>
          <w:b/>
        </w:rPr>
        <w:t>E. 6.1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6.2</w:t>
      </w:r>
    </w:p>
    <w:p>
      <w:r>
        <w:t>Dès lors que l'indigence du recourant a été établie par pièce et que les conclusions de son recours ne pouvaient pas être considérées comme, d'emblée, vouées à l'échec, la demande d'assistance judiciaire partielle doit être admise (cf. art. 65 al. 1 PA). En conséquence,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