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E-4240/2015 vom 14. Juli 2015</w:t>
      </w:r>
    </w:p>
    <w:p>
      <w:r>
        <w:t>Bundesverwaltungsgericht, 2015-07-14, DE</w:t>
      </w:r>
    </w:p>
    <w:p>
      <w:r>
        <w:rPr>
          <w:b/>
        </w:rPr>
        <w:t xml:space="preserve">Quelle: </w:t>
      </w:r>
      <w:r>
        <w:t>https://mcp.opencaselaw.ch/entscheid/bvger_E-4240_2015</w:t>
      </w:r>
    </w:p>
    <w:p>
      <w:r>
        <w:t>FR: TAF E-4240/2015 du 14 juillet 2015</w:t>
      </w:r>
    </w:p>
    <w:p>
      <w:r>
        <w:t>IT: TAF E-4240/2015 del 14 luglio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2.1 Gemäss Art. 31a Abs. 1 Bst. b AsylG wird in der Regel auf Asylgesuche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 2.2 Beim Aufnahmeverfahren (take charge - wie vorliegend) sind die Kriterien in der in Kapitel III der Dublin-III-VO genannten Rangfolge anzuwenden (vgl. Art. 8-16 Dublin-III-VO) und es ist von der Situation zum Zeitpunkt, in dem der Asylbewerber erstmals einen Antrag in einem Mitgliedstaat stellt, auszugehen (Art. 7 Abs. 1 und 2 Dublin-III-VO). Dies steht im Gegensatz zum Wiederaufnahmeverfahren (take back), bei dem keine neuerliche Zuständigkeitsprüfung nach Kapitel III Dublin-III-VO stattfindet, sondern primär zu prüfen ist, ob die bisherige Zuständigkeit des Mitgliedstaates erloschen ist (vgl. Filzwieser/Sprung, Dublin III-Verordnung - Das Europäische Asylzuständigkeitssystem, Wien und Graz 2014, K5f. zu Art. 18 S. 170). Mithin ist vorliegend - Art. 9 bis 12 Dublin-III-VO spielen keine Rolle - derjenige Mitgliedstaat zuständig für die Prüfung des Antrags auf internationalen Schutz, bei dem ein Antragsteller aus einem Drittstaat herkommend die Land-, See-, oder Luftgrenze illegal überschritten hat, und dies auf der Grundlage von Beweismitteln oder Indizien feststeht. Allerdings endet die Zuständigkeit dieses Grenzstaates ein Jahr nach dem Tag des illegalen Grenzübertritts (vgl. Art. 13 Abs. 1 Dublin-III-VO). Ist jedoch dieser Grenzmitgliedstaat nicht bekannt oder dessen Zuständigkeit bereits erloschen, und ist die Einreise illegal erfolgt oder sind die Umstände der Einreise weiterhin ungeklärt, und kann der Nachweis über einen mindestens fünf Monate dauernden und nicht unterbrochenen Aufenthalt in einem Mitgliedstaat aufgrund von Beweisen und/oder Indizien erbracht werden, so ist dieser Mitgliedstaat zuständig (vgl. Art. 13 Abs. 2 Dublin-III-VO). 2.3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führte in der Begründung ihres Nichteintretensentscheides aus, die Zuständigkeit zur Durchführung des Asyl- und Wegweisungsverfahrens sei an Italien übergegangen. Aus dem Umstand, dass die Beschwerdeführerin vor fünf Jahren in den Schengenraum eingereist sei und ihren Angaben zufolge die letzten Jahre vor der Einreise in die Schweiz in Italien verbracht habe, sei auf ihr Asylgesuch nicht einzutreten, weil sie nach Italien ausreisen könne, welches für die Durchführung des Asyl- und Wegweisungsverfahrens gestützt auf Art. 13 Abs. 2 Dublin-III-VO zuständig sei (Art. 31a Abs. 1 Bst. b AsylG). Es würden keine konkreten Anhaltspunkte dafür vorliegen, dass Italien sich nicht an seine völkerrechtlichen Verpflichtungen halten und das Asyl- und Wegweisungsverfahren nicht korrekt durchführen werde.</w:t>
      </w:r>
    </w:p>
    <w:p>
      <w:r>
        <w:rPr>
          <w:b/>
        </w:rPr>
        <w:t>E. 3.2</w:t>
      </w:r>
    </w:p>
    <w:p>
      <w:r>
        <w:t>Die Beschwerdeführerin hielt in ihrer Rechtsschrift dagegen, nicht nach Italien zurückkehren zu können. Als Flüchtling besitze sie keine feste Unterkunft in Italien. Sie leide an Asthma, Magenproblemen und Bluthochdruck, und sei somit auf den ungehinderten Zugang zur medizinischen Infrastruktur angewiesen. Sie benötige die Medikamente Ventolin, Ramipril HCT und Pantoprazol. Sie wünsche in der Schweiz zu bleiben.</w:t>
      </w:r>
    </w:p>
    <w:p>
      <w:r>
        <w:rPr>
          <w:b/>
        </w:rPr>
        <w:t>E. 3.3</w:t>
      </w:r>
    </w:p>
    <w:p>
      <w:r>
        <w:t>Aufgrund der bisherigen Angaben der Beschwerdeführerin, ihrer Anhaltung an der italienischen Grenze durch Schweizer Grenzbehörden (sowie der bisherigen Angaben ihres Lebenspartners B._______) hat die Vorinstanz am 21. April 2015 die italienischen Behörden gestützt auf Art. 13 Abs. 2 Dublin-III-VO zu Recht um Übernahme der Beschwerdeführerin ersucht. Mit der Nichtbeantwortung des Übernahmeersuchens innert der in Art. 22 Dublin-III-VO vorgesehenen Frist (sog. Verfristung) haben sie die Zuständigkeit Italiens implizit anerkannt (Art. 22 Abs. 7 Dublin-III-VO). Damit ist die grundsätzliche Zuständigkeit Italiens für die Durchführung des Asyl- und Wegweisungsverfahrens gegeben. Die im vorstehenden Absatz erwähnten Einwände der Beschwerdeführerin vermögen an der grundsätzlichen Zuständigkeit Italiens für die Behandlung des Asylgesuchs nichts zu ändern.</w:t>
      </w:r>
    </w:p>
    <w:p>
      <w:r>
        <w:rPr>
          <w:b/>
        </w:rPr>
        <w:t>E. 3.4</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 Die Unterbringung von Asylsuchenden in Italien, einem Signatarstaat der EMRK (Inkrafttreten: 26. Oktober 1955), des Übereinkommens vom 10. Dezember 1984 gegen Folter und andere grausame, unmenschliche oder erniedrigende Behandlung oder Strafe (FoK, SR 0.105; Inkrafttreten 11. Februar 1989 mit gewissen Vorbehalten), des Abkommens vom 28. Juli 1951 über die Rechtsstellung der Flüchtlinge (FK, SR 0.142.30; Inkrafttreten 13. Februar 1955 mit gewissen Vorbehalten) sowie des Zusatzprotokolls der FK vom 31. Januar 1967 (SR 0.142.301; Inkrafttreten 26. Januar 1972 mit gewissen Vorbehalten), entspricht den Minimalstandards des internationalen Rechts und prinzipiell besteht kein Grund zur Annahme, die Beschwerdeführerin würde wegen ungenügender Aufenthaltsbedingungen in Italien oder wegen einer mangelnden medizinischen Versorgung in existenzielle Schwierigkeiten geraten. Es darf davon ausgegangen werden, Italien komme seinen völkerrechtlichen Verpflichtungen nach,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Die Beschwerdeführerin brachte nichts Erhebliches gegen obige Annahme (vgl. E. 3.2) vor. Unter diesen Umständen ist die Anwendung von Art. 3 Abs. 2 Dublin-III-VO nicht gerechtfertigt.</w:t>
      </w:r>
    </w:p>
    <w:p>
      <w:r>
        <w:rPr>
          <w:b/>
        </w:rPr>
        <w:t>E. 4.1</w:t>
      </w:r>
    </w:p>
    <w:p>
      <w:r>
        <w:t>Die Beschwerdeführerin ersucht um Anwendung der Ermessensklausel von Art. 17 Abs. 1 Dublin-III-VO, was zum Selbsteintritt der Schweiz und zur materiellen Beurteilung des Antrags auf internationalen Schutz durch dieses Land führen würde. Sie macht hierzu die in E. 3.2. erwähnten Gründe geltend.</w:t>
      </w:r>
    </w:p>
    <w:p>
      <w:r>
        <w:rPr>
          <w:b/>
        </w:rPr>
        <w:t>E. 4.2</w:t>
      </w:r>
    </w:p>
    <w:p>
      <w:r>
        <w:t>Art. 17 Abs. 1 Dublin-III-VO wird im schweizerischen Recht durch Art. 29a Abs. 3 der Asylverordnung 1 vom 11. August 1999 über Verfahrensfragen (AsylV 1 SR 142.311 [Stand 1. Februar 2014])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das Grundsatzurteil E-641/2014 vom 13. März 2015, zur Publikation vorgesehen). Art. 17 Abs. 1 Dublin-III-VO ist zudem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w:t>
      </w:r>
    </w:p>
    <w:p>
      <w:r>
        <w:rPr>
          <w:b/>
        </w:rPr>
        <w:t>E. 4.3</w:t>
      </w:r>
    </w:p>
    <w:p>
      <w:r>
        <w:t>Das SEM hat die wesentlichen Umstände, welche die Überstellung der Beschwerdeführerin aufgrund ihrer individuellen Situation oder der Verhältnisse im zuständigen Staat hätten problematisch erscheinen lassen können, geprüft und dargelegt, weshalb es auf einen Selbsteintritt aus humanitären Gründen verzichtet hat. Daran ändern die erst auf Beschwerdestufe erhobenen medizinischen Bedürfnisse, die im Übrigen durch kein medizinisches Attest bestätigt wären, nichts. Der Vorinstanz kann mithin keine gesetzeswidrige Ermessensausübung (vgl. Art. 106 Abs. 1 Bst. a AsylG) vorgehalten werden. Unter diesen Umständen erübrigen sich weitere Ausführungen zur Frage eines Selbsteintritts. Nach dem Gesagten besteht kein Grund für die Anwendung der Ermessensklauseln von Art. 17 Dublin-III-VO.</w:t>
      </w:r>
    </w:p>
    <w:p>
      <w:r>
        <w:rPr>
          <w:b/>
        </w:rPr>
        <w:t>E. 5</w:t>
      </w:r>
    </w:p>
    <w:p>
      <w:r>
        <w:t>Zusammenfassend hat die Vorinstanz zu Recht die Zuständigkeit Italiens festgestellt, ist in Anwendung von Art. 31a Abs. 1 Bst. b AsylG auf das Asylgesuch der Beschwerdeführerin nicht eingetreten und hat die Wegweisung nach Italien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und die vorinstanzliche Verfügung zu bestätigen. Das Beschwerdeverfahren ist mit vorliegendem Urteil abgeschlossen. Die Anträge auf Gewährung der aufschiebenden Wirkung, Anordnung (definitiver) vollzugshindernder Massnahmen und Entbindung von einer Kostenvorschusspflicht haben sich als gegenstandslos erwiesen.</w:t>
      </w:r>
    </w:p>
    <w:p>
      <w:r>
        <w:rPr>
          <w:b/>
        </w:rPr>
        <w:t>E. 7.1</w:t>
      </w:r>
    </w:p>
    <w:p>
      <w:r>
        <w:t>Das mit der Beschwerde gestellte Gesuch um Gewährung der unentgeltlichen Prozessführung ist abzuweisen, da die Begehren, wie sich aus den vorstehenden Erwägungen ergibt, als aussichtlos zu bezeichnen sind, weshalb die Voraussetzungen von Art. 65 Abs. 1 VwVG nicht erfüllt sind. Aus demselben Grund wäre ein Gesuch um unentgeltliche Rechtsverbeiständung abzuweisen.</w:t>
      </w:r>
    </w:p>
    <w:p>
      <w:r>
        <w:rPr>
          <w:b/>
        </w:rPr>
        <w:t>E. 7.2</w:t>
      </w:r>
    </w:p>
    <w:p>
      <w:r>
        <w:t>Bei diesem Verfahrensausgang sind die Kosten von Fr. 600.- der Beschwerdeführerin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