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E-4239/2023 vom 10. August 2023</w:t>
      </w:r>
    </w:p>
    <w:p>
      <w:r>
        <w:t>Bundesverwaltungsgericht, 2023-08-10, DE</w:t>
      </w:r>
    </w:p>
    <w:p>
      <w:r>
        <w:rPr>
          <w:b/>
        </w:rPr>
        <w:t xml:space="preserve">Quelle: </w:t>
      </w:r>
      <w:r>
        <w:t>https://mcp.opencaselaw.ch/entscheid/bvger_E-4239_2023</w:t>
      </w:r>
    </w:p>
    <w:p>
      <w:r>
        <w:t>FR: TAF E-4239/2023 du 10 août 2023</w:t>
      </w:r>
    </w:p>
    <w:p>
      <w:r>
        <w:t>IT: TAF E-4239/2023 del 10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und dessen Kinder haben am Verfahren vor der Vorinstanz teilgenommen, sind durch die angefochtene Verfügung besonders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Der Beschwerdeführer moniert in seiner Beschwerdeschrift in formeller Hinsicht die Verletzung seines Anspruchs auf rechtliches Gehör sowie eine unvollständige beziehungsweise unrichtige Abklärung des rechtserheblichen Sachverhalts. Diese formellen Rügen sind vorab zu beurteilen, da sie sich allenfalls dazu eignen, eine Kassation der vorinstanzlichen Verfügung zu bewirken (vgl. BVGE 2013/34 E. 4.2; Kölz/Häner/Bertschi, Verwaltungsverfahren und Verwaltungsrechtspflege des Bundes, 3. Aufl. 2013, Rz. 1043 ff. m.w.H.).</w:t>
      </w:r>
    </w:p>
    <w:p>
      <w:r>
        <w:rPr>
          <w:b/>
        </w:rPr>
        <w:t>E. 4.2.1</w:t>
      </w:r>
    </w:p>
    <w:p>
      <w:r>
        <w:t>Der Beschwerdeführer begründet die Verletzung seines Anspruchs sowie denjenigen seines ältesten Sohnes auf rechtliches Gehör damit, dass sie von ihrer damaligen Rechtsvertretung nicht ausreichend auf das Dublin-Gespräch vorbreitet worden seien, diese während des Dublin-Gesprächs nicht anwesend gewesen sei, sie kaum die Möglichkeit gehabt hätten, sich mit der damaligen Rechtsvertretung auszutauschen, und sie von dieser auch nicht ausreichend über ihre Rechte informiert worden seien. Somit sei die damalige Rechtsvertretung während des gesamten Verfahrens nicht anwesend gewesen. Angesichts dessen, dass es sich vorliegend um besonders vulnerable Personen handle, da drei minderjährige Kinder ins Verfahren involviert seien, hätte die Rechtsvertretung beim Dublin-Gespräch dabei sein müssen. Die Nichtteilnahme stelle eine ungenügende Rechtsvertretung und damit einen nicht wiedergutzumachenden schweren Verfahrensfehler dar.</w:t>
      </w:r>
    </w:p>
    <w:p>
      <w:r>
        <w:rPr>
          <w:b/>
        </w:rPr>
        <w:t>E. 4.2.2</w:t>
      </w:r>
    </w:p>
    <w:p>
      <w:r>
        <w:t>Vorab ist festzuhalten, dass der Beschwerdeführer zuerst sowohl für sich selbst als auch für seinen ältesten Sohn vollständig auf das Dublin-Gespräch verzichtet hat (SEM-Akte [...]-29/1; [...]-31/1). Erst auf Antrag ihrer damaligen Rechtsvertretung wurde das Dublin-Gespräch erneut angesetzt und schliesslich auch durchgeführt. Aus dem den Antrag umfassenden Schreiben geht sodann hervor, dass zwischen der damaligen Rechtsvertretung und dem Beschwerdeführer sowie dessen Kinder eine ausführliche Besprechung stattgefunden hat, bei welcher es um das Dublin-Gespräch ging (SEM-Akte [...]-35/2). Zudem wurde der Nichteintretensentscheid der vormaligen Rechtsvertretung ausgehändigt und von dieser dem Beschwerdeführer weitergeleitet (SEM-Akte [...]-52/1). Der Beschwerdeführer vermag diesen Tatsachen denn auch nichts Stichhaltiges entgegenzusetzen, sondern macht lediglich - durch unbelegte Parteiaussagen - pauschal geltend, seine damalige Rechtsvertretung sei während des ganzen Verfahrens abwesend gewesen. Dies widerspricht nach dem Gesagten der Aktenlage.</w:t>
      </w:r>
    </w:p>
    <w:p>
      <w:r>
        <w:rPr>
          <w:b/>
        </w:rPr>
        <w:t>E. 4.2.3.1</w:t>
      </w:r>
    </w:p>
    <w:p>
      <w:r>
        <w:t>Zum Themenkomplex der Nichtanwesenheit der Rechtsvertretung beim Dublin-Gespräch hat sich das Bundesverwaltungsgericht bereits mehrfach geäussert, zuletzt ausführlich im Urteil E-5608/2022 vom 31. Mai 2023, welches zur Publikation vorgesehen ist (siehe bspw. auch die Urteile E-2625/2023 vom 12. Juni 2023 und E-2542/2023 vom 15. Mai 2023). Dabei hat es zunächst auf Art. 102j Abs. 2 AsylG hingewiesen, wonach Handlungen des SEM bei rechtzeitiger Mitteilung der Termine ihre Rechtswirkungen auch ohne die Anwesenheit oder Mitwirkung der Rechtsvertretung entfalten würden. Vorbehalten blieben kurzfristige Verhinderungen aus entschuldbaren, schwerwiegenden Gründen. Im Weiteren hat das Bundesverwaltungsgericht ausgeführt, die Anwesenheit der Rechtsvertretung am Dublin-Gespräch sei nicht zwingend vorgeschrieben, da gemäss Art. 102k Abs. 1 Bst. b AsylG zu den Aufgaben der Rechtsvertretung die Teilnahme an der Erstbefragung in der Vorbereitungsphase und an der Anhörung zu den Asylgründen gehöre. Das Dublin-Gespräch stelle indessen keine Erstbefragung im Rahmen der Vorbereitungsphase dar, sondern es handle sich vielmehr um ein persönliches Gespräch. Die Anforderungen an das persönliche Gespräch seien in Art. 5 Dublin-III-VO aufgeführt. Diese Norm sehe keine Teilnahme der Rechtsvertretung vor, eine solche könne im Einzelfall aufgrund der Vulnerabilität der asylsuchenden Person jedoch notwendig sein, wobei der entsprechende Entscheid darüber der Rechtsvertretung obliege (Urteil E-5608/2022 vom 31. Mai 2023 E. 5.1 ff., m.w.H. [zur Publikation vorgesehen]).</w:t>
      </w:r>
    </w:p>
    <w:p>
      <w:r>
        <w:rPr>
          <w:b/>
        </w:rPr>
        <w:t>E. 4.2.3.2</w:t>
      </w:r>
    </w:p>
    <w:p>
      <w:r>
        <w:t>Vorliegend lässt sich den Akten entnehmen, dass die damalige Rechtsvertretung von der Vorinstanz mit Vorladung vom 14. Juli 2023 über die Termine der Dublin-Gespräche am 19. Juli 2023 informiert wurde (SEM-Akte [...]-39/2; [...]-40/2). Sowohl dem Beschwerdeführer als auch seinem ältesten Sohn wurde zu Beginn des Gesprächs erklärt, dass die Rechtsvertretung aus Kapazitätsgründen nicht am Gespräch teilnehmen werde, ihr das Protokoll im Anschluss aber zugestellt werde. Der Durchführung des Gesprächs ohne die Anwesenheit der Rechtsvertretung stimmten der Beschwerdeführer und sein ältester Sohn ausdrücklich zu. Der Entscheid der damaligen Rechtsvertretung, aus Kapazitätsgründen nicht am Dublin-Gespräch teilzunehmen, ist nach dem Gesagten nicht zu beanstanden, zumal sie rechtzeitig über den Termin in Kenntnis gesetzt worden ist. Sowohl der Beschwerdeführer als auch sein ältester Sohn unterzeichneten sodann das Protokoll nach einer Rückübersetzung und bestätigten damit, mit dessen Inhalt einverstanden zu sein (SEM-Akte [...]-41/3; [...]-43/2). Vorliegend ist nicht zu beanstanden, dass die damalige Rechtsvertretung trotz Minderjährigkeit des ältesten Sohnes nicht an dessen Dublin-Gespräch teilnahm. Dem Protokoll lässt sich entnehmen, dass B._______ sich frei äussern konnte und selbstständig weitere Ausführungen machte (SEM-Akte [...]-43/2). Auch sein Vater äusserte sich anlässlich seines eigenen Gesprächs ausführlich zur Situation sämtlicher seiner Kinder (SEM-Akte [...]-41/3). Vorliegend wurde der Minderjährigkeit von B._______ und einer allfällig damit einhergehenden Vulnerabilität - wie sie die jetzige Rechtsvertretung auf Beschwerdeebene erstmals geltend macht - genügend Rechnung getragen. Eine zwingende Begleitung durch die Rechtsvertretung erachtet das Bundesverwaltungsgericht vorliegend als nicht erforderlich, zumal es auch bei Vulnerabilität der asylsuchenden Person in der Verantwortung der zuständigen Rechtsvertretung liegt, zu entscheiden, ob eine Teilnahme am Gespräch notwendig ist (vgl. E. 4.2.3.1).</w:t>
      </w:r>
    </w:p>
    <w:p>
      <w:r>
        <w:rPr>
          <w:b/>
        </w:rPr>
        <w:t>E. 4.3.1</w:t>
      </w:r>
    </w:p>
    <w:p>
      <w:r>
        <w:t>Der Beschwerdeführer moniert (unter Hinweis auf mehrere Berichte internationaler Organisationen) weiter, die Vorinstanz habe den rechtserheblichen Sachverhalt unzureichend festgestellt, da sie es unterlassen habe abzuklären, ob er und seine Kinder in Frankreich eine Unterkunft hätten beziehungsweise habe sie diesbezüglich keine individuellen Garantien eingeholt. Des Weiteren habe die Vorinstanz weder die fehlende medizinische Versorgung in Frankreich sowie die dadurch drohende Verschlechterung seines Gesundheitszustands und jener seiner Kinder berücksichtigt, noch sei eine mögliche Verletzung des Kindswohls geprüft worden, womit auch keine Anwendung der Souveränitätsklausel beziehungsweise ein Selbsteintritt aus humanitären Gründen habe geprüft werden können.</w:t>
      </w:r>
    </w:p>
    <w:p>
      <w:r>
        <w:rPr>
          <w:b/>
        </w:rPr>
        <w:t>E. 4.3.2</w:t>
      </w:r>
    </w:p>
    <w:p>
      <w:r>
        <w:t>Entgegen der Auffassung des Beschwerdeführers hat die Vorinstanz die individuellen Vorbringen des Beschwerdeführers und dessen Kinder in den Erwägungen durchaus berücksichtigt - auch unter Berücksichtigung eines bereits rechtskräftig abgeschlossenen Asylverfahrens in Frankreich - (vgl. Verfügung des SEM vom 26. Juli 2023 Ziff. II S. 3 ff.). Das SEM hat sich in seiner Verfügung einlässlich mit der Situation von Asylsuchenden in Frankreich, auseinandergesetzt. Ferner hat es festgestellt, es sei nicht davon auszugehen, dass bei einer Überstellung des Beschwerdeführers und dessen Kinder nach Frankreich eine Verletzung von Art. 3 EMRK oder des Non-Refoulement-Gebots drohe. Damit ist das SEM der ihm obliegenden Untersuchungs- und Prüfungspflicht (vgl. Art. 6 AsylG i.V.m. Art. 12 VwVG; Art. 35 Abs. 1 VwVG) in genügender Weise nachgekommen, und es ist auch keine fehlerhafte Sachverhaltsfeststellung ersichtlich. Der Umstand, dass sich das SEM bei seinen Erwägungen auf andere als die vom Beschwerdeführer als relevant erachteten Quellen stützt respektive zu einer anderen Einschätzung der Lage kommt als der Beschwerdeführer, ändert daran nichts.</w:t>
      </w:r>
    </w:p>
    <w:p>
      <w:r>
        <w:rPr>
          <w:b/>
        </w:rPr>
        <w:t>E. 4.4</w:t>
      </w:r>
    </w:p>
    <w:p>
      <w:r>
        <w:t>Die formellen Rügen erweisen sich nach dem Gesagten als unbegründet, und das eventualiter gestellte Rückweisungsbegehren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5.4</w:t>
      </w:r>
    </w:p>
    <w:p>
      <w:r>
        <w:t>Ein Abgleich der Fingerabdrücke des Beschwerdeführers mit der Eurodac-Datenbank ergab, dass dieser am 12. April 2021 in Frankreich ein Asylgesuch gestellt hatte (SEM-Akte [...]-18/1). Die französischen Behörden stimmten dem Ersuchen der Vorinstanz unter Einbezug der drei Kinder mit Schreiben vom 11. Juli 2023 gestützt auf Art. 18 Abs. 1 Bst. d Dublin-III-VO ausdrücklich zu (SEM-Akte [...]-38/2). Die Zuständigkeit Frankreichs ist somit grundsätzlich gegeben, was vom Beschwerdeführer nicht bestritten wird.</w:t>
      </w:r>
    </w:p>
    <w:p>
      <w:r>
        <w:rPr>
          <w:b/>
        </w:rPr>
        <w:t>E. 6.1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angenommen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E-2625/2023 vom 12. Juli 2023 E. 5.2 und E-3926/2022 vom 20. September 2022 E. 5.2 m.w.H.).</w:t>
      </w:r>
    </w:p>
    <w:p>
      <w:r>
        <w:rPr>
          <w:b/>
        </w:rPr>
        <w:t>E. 6.3</w:t>
      </w:r>
    </w:p>
    <w:p>
      <w:r>
        <w:t>An dieser Einschätzung vermögen die Vorbringen des Beschwerdeführers (Leben auf der Strasse, fehlender Zugang zu einer Unterkunft bei einer Rückkehr nach Frankreich sowie fehlende medizinische Versorgung) unter Hinweis auf mehrere Bericht internationaler Organisationen nichts zu ändern (vgl. insbesondere Urteil des BVGer E-2625/2023 E. 5.2). Bei einer allfälligen vorübergehenden Einschränkung des Betreuungsangebots stünde es dem Beschwerdeführer zudem offen, sich an die zuständigen französischen Behörden zu wenden und die ihm zustehenden Aufnahmebedingungen auf dem Rechtsweg einzufordern (vgl. Art. 26 Aufnahmerichtlinie). Sodann liegen keine Hinweise dafür vor, dass die Behandlung ihrer Asylgesuche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und dessen Kinder nach Frankreich gemäss Akten nicht zu einer Kettenabschiebung, welche gegen das Non-Refoulement-Prinzip verstossen würde, wie es in Art. 33 FK verankert ist und sich ausserdem aus Art. 4 der EU-Grundrechtecharta, Art. 3 EMRK oder Art. 3 FoK ableiten lässt. Im Übrigen bringt der Beschwerdeführer nichts vor, das Anlass zur Änderung der Rechtsprechung geben könnte. Eine Anwendung von Art. 3 Abs. 2 Dublin-III-VO ist daher nicht gerechtfertigt.</w:t>
      </w:r>
    </w:p>
    <w:p>
      <w:r>
        <w:rPr>
          <w:b/>
        </w:rPr>
        <w:t>E. 6.4.1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6.4.2</w:t>
      </w:r>
    </w:p>
    <w:p>
      <w:r>
        <w:t>Eine solche Situation ist vorliegend nicht gegeben. Die gesundheitlichen Beschwerden des Beschwerdeführers ([...]) sowie seiner Söhne D._______ ([...]) und B._______ ([...]) sind nicht als derart schwerwiegend anzusehen, dass aus humanitären Gründen oder gar wegen einer drohenden Verletzung von Art. 3 EMRK von einer Überstellung nach Frankreich abgesehen werden müsste (SEM-Akte [...]-41/3; [...]-43/2; [...]-49/8). Die vom Beschwerdeführer geltend gemachten psychischen Probleme seines Sohnes B._______ sind sodann nicht ausgewiesen beziehungsweise gab B._______ anlässlich seines Dublin-Gesprächs keine solchen Beschwerden zu Protokoll (SEM-Akte [...]-43/2). Des Weiteren ist hierzu auf die zutreffenden Ausführungen der Vorinstanz zu verweisen (vgl. Verfügung des SEM vom 26. Juli 2023 Ziff. II S. 5 - 7). In antizipierter Beweiswürdigung erübrigt sich nach dem Gesagten, Frist anzusetzen zur Nachreichung von weiteren ärztlichen Berichten.</w:t>
      </w:r>
    </w:p>
    <w:p>
      <w:r>
        <w:rPr>
          <w:b/>
        </w:rPr>
        <w:t>E. 6.4.3</w:t>
      </w:r>
    </w:p>
    <w:p>
      <w:r>
        <w:t>Im Übrigen ist darauf hinzuweisen, dass Frankreich grundsätzlich über eine ausreichende medizinische Infrastruktur verfügt (vgl. das Urteil des BVGer E-3926/2023 E. 6.4.3 m.w.H.).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Frankreich seinen Verpflichtungen im Rahmen der Dublin-III-VO in medizinischer Hinsicht nicht nachkommen würde. Bezüglich der Reisefähigkeit, der Durchführung der Überstellung und der Information der französischen Behörden über den aktuellen Gesundheitszustand (Art. 31 und Art. 32 Dublin-III-VO) kann im Übrigen auf die zutreffenden Ausführungen der Vorinstanz verwiesen werden (vgl. Verfügung des SEM vom 26. Juli 2023 Ziff. II S. 7 f. sowie SEM-Akte [...]-50/1), worin sie unter anderem ausdrücklich festhält, dass die französischen Behörden bei der Überstellung über notwendige medizinische Behandlungen informiert und eine angemessene Menge der verschriebenen Medikamente dem Beschwerdeführer und dessen Kinder mitgegeben werden.</w:t>
      </w:r>
    </w:p>
    <w:p>
      <w:r>
        <w:rPr>
          <w:b/>
        </w:rPr>
        <w:t>E. 6.5</w:t>
      </w:r>
    </w:p>
    <w:p>
      <w:r>
        <w:t>Hinsichtlich des Kindswohls der drei Kinder (Jg. [...], [...] und [...]) ist darauf hinzuweisen, dass Frankreich Signatarstaat des Übereinkommens vom 20. November 1989 über die Rechte des Kindes (Kinderrechtskonvention, KRK; SR 0.107) ist und keine Hinweise darauf bestehen, dass Frankreich sich nicht an seine völkerrechtlichen Pflichten halten würde. Das Kindswohl steht somit einer Überstellung nach Frankreich nicht entgegen (vgl. Art. 3 KRK).</w:t>
      </w:r>
    </w:p>
    <w:p>
      <w:r>
        <w:rPr>
          <w:b/>
        </w:rPr>
        <w:t>E. 6.6</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und dessen Kinder nicht eingetreten. Da sie nicht im Besitz einer gültigen Aufenthalts- oder Niederlassungsbewilligung sind, wurde die Überstellung nach Frankreich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9</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