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E-4235/2018 vom 30. Juli 2018</w:t>
      </w:r>
    </w:p>
    <w:p>
      <w:r>
        <w:t>Bundesverwaltungsgericht, 2018-07-30, DE</w:t>
      </w:r>
    </w:p>
    <w:p>
      <w:r>
        <w:rPr>
          <w:b/>
        </w:rPr>
        <w:t xml:space="preserve">Quelle: </w:t>
      </w:r>
      <w:r>
        <w:t>https://mcp.opencaselaw.ch/entscheid/bvger_E-4235_2018</w:t>
      </w:r>
    </w:p>
    <w:p>
      <w:r>
        <w:t>FR: TAF E-4235/2018 du 30 juillet 2018</w:t>
      </w:r>
    </w:p>
    <w:p>
      <w:r>
        <w:t>IT: TAF E-4235/2018 del 30 luglio 2018</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insoweit einzutreten (Art. 108 Abs. 2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die Beschwerdeführerin Asyl oder eine vorläufige Aufnahme begehrt, nimmt sie eine Erweiterung des Streitgegenstands vor, was unzulässig ist (BVGE 2011/9 E. 5). Auf die Beschwerde ist insoweit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4.1</w:t>
      </w:r>
    </w:p>
    <w:p>
      <w:r>
        <w:t>Die Schlussfolgerung der Vorinstanz ist weder in tatsächlicher noch in rechtlicher Hinsicht zu beanstanden. Die knappen Beschwerdeausführungen sind nicht geeignet aufzuzeigen, inwiefern die Vorinstanz Bundesrecht verletzt oder den Sachverhalt fehlerhaft festgestellt haben soll. Solches ist auch nicht ersichtlich. Die Vorinstanz hat anhand der Zentraleinheit Eurodac zu Recht die Zuständigkeit Kroatiens erkannt und die kroatischen Behörden - gestützt auf Art. 18 Abs. 1 Bst. b Dublin-III-VO - um Übernahme ersucht. Das Gesuch wurde am 29. Juni 2018 explizit gutgeheissen. Kroatien ist somit verpflichtet, die Personen wieder aufzunehmen und angemessene Vorkehrungen für die Rückkehr zu treffen (Art. 22 Abs. 7 Dublin-III-VO). Die hiergegen geltend gemachten Einwände auf Beschwerdeebene sind nicht geeignet, eine Verletzung der Zuständigkeitsbestimmungen darzutun. Es gibt keine wesentlichen Gründe für die Annahme, das Asylverfahren und die Aufnahmebedingungen für Antragsteller in Kroatien würden systemische Schwachstellen aufweisen, die eine Gefahr einer unmenschlichen oder entwürdigenden Behandlung im Sinne des Art. 4 der EU-Grundrechtecharta mit sich bringen. Es liegen auch keine Anhaltspunkte vor, dass Kroatien seine staatsvertraglichen Verpflichtungen im vorliegenden Fall missachten und die Beschwerdeführerin unter Verletzung der EMRK einer menschenunwürdigen oder erniedrigenden Behandlung ausgesetzt wäre, oder dass das flüchtlingsrechtliche Non-Refoulement-Gebot verletzt würde. So ist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nötige medizinische oder sonstige Hilfe gewähren (Art. 19 Abs. 2 Aufnahmerichtlinie). Es besteht die Vermutung, dass Kroatien diesen völker- und EU-rechtlichen Verpflichtungen nachkommt, was auch die Beschwerdeführerin nicht in Frage stellt. Eine zwangsweise Rücküberstellung von Personen mit gesundheitlichen Problemen kann überdies nur dann einen Verstoss gegen Art. 3 EMRK darstellen, wenn die betroffenen Personen sich in einem fortgeschrittenen oder terminalen Krankheitsstadium und bereits in Todesnähe befinden (vgl. BVGE 2011/9 E. 7 mit Hinweisen auf die Praxis des Europäischen Gerichtshofs für Menschenrechte [EGMR]), was vorliegend nicht der Fall ist. Mit der Vorinstanz ist davon auszugehen, dass Kroatien über eine ausreichende medizinische Infrastruktur verfügt und keine Hinweise zu erkennen sind, wonach Kroatien der Beschwerdeführerin und ihrem Sohn eine adäquate medizinische Behandlung verweigern würde. Ferner hat die Vorinstanz in der angefochtenen Verfügung erklärt, dass dem aktuellen Gesundheitszustand der Beschwerdeführerin und ihres Sohnes bei der Organisation der Überstellung Rechnung getragen werde und die kroatischen Behörden im Sinne von Art. 31 und Art. 32 Dublin-III-VO vor der Überstellung über deren Gesundheitszustand und die notwendige medizinische Behandlung informiert würden (angefochtene Verfügung, S. 4). Die Beschwerdeführerin macht in ihrer Beschwerde weiter geltend, sie sei in Kroatien sexuell belästigt worden und ihre Schlepper würden sie kennen. Im nachgereichten Schreiben vom 23. Juli 2018 wird ergänzt, es bestehe für die Beschwerdeführerin zudem die Gefahr, dass sie von ihrem Ex-Mann bis nach Kroatien verfolgt werde. Diese Ausführungen sind indes ebenfalls nicht geeignet, eine Verletzung der Zuständigkeitsbestimmungen zu begründen, weil - wie die Vorinstanz zutreffend festgestellt hat - die kroatischen Behörden schutzwillig und schutzfähig sind. Sofern die Beschwerdeführerin also tatsächlich auf Schutz angewiesen sein sollte, kann sie sich an diese wenden. Dass die kroatischen Behörden ihr nicht geholfen hätten, ist eine durch nichts belegte Behauptung. Mithin liegen auch keine Umstände vor, die einen - nach Ermessen zu beurteilenden - Selbsteintritt aus humanitären Gründen im Rahmen der Souveränitätsklausel (Art. 29a Abs. 3 Asylverordnung 1 [AsylV 1, SR 142.311] i.V.m. Art. 17 Abs. 1 Dublin-III-VO) rechtfertigen würden. Die Vorinstanz hat folgerichtig einen Selbsteintritt ausgeschlossen und ist zu Recht auf das Asylgesuch nicht eingetreten.</w:t>
      </w:r>
    </w:p>
    <w:p>
      <w:r>
        <w:rPr>
          <w:b/>
        </w:rPr>
        <w:t>E. 5</w:t>
      </w:r>
    </w:p>
    <w:p>
      <w:r>
        <w:t>Aus den Erwägungen ergibt sich, dass die angefochtene Verfügung Bundesrecht nicht verletzt und auch sonst nicht zu beanstanden ist (Art. 106 AsylG und Art. 49 VwVG). Die Beschwerde ist abzuweisen, soweit darauf einzutreten ist. Damit ist auch der Antrag betreffend die aufschiebende Wirkung gegenstandslos geworden.</w:t>
      </w:r>
    </w:p>
    <w:p>
      <w:r>
        <w:rPr>
          <w:b/>
        </w:rPr>
        <w:t>E. 6.1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6.2</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