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E-4234/2015 vom 13. Februar 2017</w:t>
      </w:r>
    </w:p>
    <w:p>
      <w:r>
        <w:t>Bundesverwaltungsgericht, 2017-02-13, DE</w:t>
      </w:r>
    </w:p>
    <w:p>
      <w:r>
        <w:rPr>
          <w:b/>
        </w:rPr>
        <w:t xml:space="preserve">Quelle: </w:t>
      </w:r>
      <w:r>
        <w:t>https://mcp.opencaselaw.ch/entscheid/bvger_E-4234_2015</w:t>
      </w:r>
    </w:p>
    <w:p>
      <w:r>
        <w:t>FR: TAF E-4234/2015 du 13 février 2017</w:t>
      </w:r>
    </w:p>
    <w:p>
      <w:r>
        <w:t>IT: TAF E-4234/2015 del 13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Erwägungen (E. 8)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w:t>
      </w:r>
    </w:p>
    <w:p>
      <w:r>
        <w:rPr>
          <w:b/>
        </w:rPr>
        <w:t>E. 3.1</w:t>
      </w:r>
    </w:p>
    <w:p>
      <w:r>
        <w:t>Die Beschwerdeführerin rügt mehrfach eine Verletzung des rechtlichen Gehörs. Die Vorinstanz habe die Begründungspflicht verletzt, den Sachverhalt in Missachtung des Untersuchungsgrundsatzes unvollständig festgestellt sowie die Abklärungspflicht und das Akteneinsichtsrecht verletzt. Sie sei in Willkür verfallen.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Soweit die Beschwerdeführerin eine entsprechende Rüge im Zusammenhang mit Einzelvorbringen erhebt (Beschwerde Ziff. 10-20), legt sie nicht ansatzweise dar, worin die Gehörsverletzung bestehen soll. Vielmehr beschränkt sie sich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Ausserdem zeigt die vorliegende Beschwerde, dass eine sachgerechte Anfechtung möglich war.</w:t>
      </w:r>
    </w:p>
    <w:p>
      <w:r>
        <w:rPr>
          <w:b/>
        </w:rPr>
        <w:t>E. 3.4</w:t>
      </w:r>
    </w:p>
    <w:p>
      <w:r>
        <w:t>Die Beschwerdeführerin rügt weiter eine Verletzung des Anspruchs auf Akteneinsicht. Die Vorinstanz habe ihr den internen VA-Antrag nicht editiert. Ausserdem seien die eingereichten Beweismittel nicht im Aktenverzeichnis oder im Beweismittelcouvert aufgeführt. So sei für sie nicht überprüfbar, ob die Vorinstanz die Akten überhaupt erhalten und gewürdigt habe. Bezüglich des internen VA-Antrages (SEM-Akten, B25/2) und der weiteren Akten ist auf die Zwischenverfügung vom 15. Juli 2015 zu verweisen, wonach es sich dabei um interne Akten handelt, weshalb die Vorinstanz die Edition zu Recht verweigert hat. Das Beweismittelcouvert befindet sich in den vorinstanzlichen Akten, jedoch hat die Vorinstanz offensichtlich vergessen, dieses im Aktenverzeichnis aufzunehmen. Dies alleine stellt jedoch noch keine Verletzung des rechtlichen Gehörs dar, zumal aus der angefochtenen Verfügung hervorgeht, dass die Vorinstanz sämtliche Beweismittel erhalten und entsprechend ihrer Relevanz gewürdigt hat (vgl. die angefochtene Verfügung, S. 2 f.). Eine Verletzung des rechtlichen Gehörs in Form einer Verletzung des Anspruchs auf Akteneinsicht liegt nicht vor.</w:t>
      </w:r>
    </w:p>
    <w:p>
      <w:r>
        <w:rPr>
          <w:b/>
        </w:rPr>
        <w:t>E. 3.5</w:t>
      </w:r>
    </w:p>
    <w:p>
      <w:r>
        <w:t>Eine Gehörsverletzung liegt auch sonst nicht vor. Die Vorinstanz hat die Beschwerdeführerin zur Person befragt, zwei Mal zu den Asylgründen angehört und den Sachverhalt nach Einräumung sämtlicher Verfahrensrechte festgestellt. Die Notwendigkeit einer zusätzlichen Anhörung ist nicht ersichtlich. Die eingereichten Beweismittel wurden von der Vorinstanz, soweit rechtserheblich, berücksichtigt. Die Beschwerdeführerin macht geltend, die Vorinstanz habe seit Gesuchseinreichung knapp ein Jahr bis zur Anhörung verstreichen lassen und es habe zehn Monate gedauert, ein Frauenteam für eine weitere Anhörung zusammenzustellen. Dies trifft zu. Indes legt sie in der Eingabe nicht dar, inwiefern ihr aus diesem Umstand in Bezug auf ihr Asylverfahren ein Nachteil erwachsen ist. Ein solcher ist auch nicht ersichtlich.</w:t>
      </w:r>
    </w:p>
    <w:p>
      <w:r>
        <w:rPr>
          <w:b/>
        </w:rPr>
        <w:t>E. 3.6</w:t>
      </w:r>
    </w:p>
    <w:p>
      <w:r>
        <w:t>Die Beschwerdeführerin bringt weiter vor, die Anhörung vom 20. Juni 2014 habe nicht in einer reinen Frauenrunde stattgefunden. Deren Durchführung und die Herbeiziehung dieser Anhörung zur Begründung der angeblichen Unglaubhaftigkeit stelle deshalb einen Abklärungsmangel dar. Diese Rüge geht fehl. Die Beschwerdeführerin wurde am 20. April 2015 ergänzend in einem reinen Frauenteam angehört. Damit wurde den gesetzlichen Anforderungen genüge getan (vgl. Art. 17 Abs. 2 AsylG i.V.m. Art. 6 der Asylverordnung 1 vom 11. August 1999 [AsylV 1, SR 142.311]), zumal nicht dargetan wird, weshalb für die Vorinstanz bereits vor der ersten Anhörung Anlass zur Annahme geschlechterspezifischer Vorbringen bestanden haben sollte. Eine diesbezügliche Verletzung der Abklärungspflicht ist nicht ersichtlich.</w:t>
      </w:r>
    </w:p>
    <w:p>
      <w:r>
        <w:rPr>
          <w:b/>
        </w:rPr>
        <w:t>E. 3.7</w:t>
      </w:r>
    </w:p>
    <w:p>
      <w:r>
        <w:t>Das Willkürverbot hat keinen selbständigen Gehalt, weil das Bundesverwaltungsgericht Tat- und Rechtsfragen mit voller Kognition überprüfen kann. Eine Verletzung des rechtlichen Gehörs (in der Gestalt von Anhörungsrecht, Akteneinsichtsrecht, Abklärungs- und Begründungspflicht) liegt nicht vor. Der rechtserhebliche Sachverhalt wurde richtig und vollständig erstellt. Die Rüge ist unbegründet.</w:t>
      </w:r>
    </w:p>
    <w:p>
      <w:r>
        <w:rPr>
          <w:b/>
        </w:rPr>
        <w:t>E. 4</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5.1</w:t>
      </w:r>
    </w:p>
    <w:p>
      <w:r>
        <w:t>Die Vorinstanz kommt in der angefochtenen Verfügung zum Schluss, die Vorbringen der Beschwerdeführerin würden den Anforderungen an die Glaubhaftigkeit gemäss Art. 7 AsylG nicht standhalten. Ihre Ausführungen würden in zahlreichen Punkten voneinander abweichen. So mache sie unterschiedliche Angaben zu ihrer Gruppe, den Anzahl Hilfseinsätzen, den Waffenlieferungen, der Festnahme ihres Kollegen, der persönlichen Hilfestellung durch die PYD (Partei der Demokratischen Union), dem Kontakt zu ihrem Vater und den Schwierigkeiten mit ihrem Nachbarn. Obwohl sie ihre Vorbringen mehrheitlich detailliert und auf den ersten Blick schlüssig darlege, werfe ihre Geschichte bei genauerem Hinsehen mehrere Fragezeichen auf. So sei fragwürdig, wie sie mit dem Auto und den Waffen die Check-Points hätten passieren können. Zudem mute es seltsam an, dass sie sich ihren Universitätskollegen angeschlossen habe, ohne genau Bescheid zu wissen, zu welcher Organisation diese gehören würden. Die mangelnde Plausibilität ihrer Schilderungen lasse darauf schliessen, dass sie sich auf einen konstruierten Sachverhalt beziehen würde. Da ihr der Hilfseinsatz nicht geglaubt werden könne, könne ihr folgerichtig auch die angebliche Vergewaltigung nicht geglaubt werden.</w:t>
      </w:r>
    </w:p>
    <w:p>
      <w:r>
        <w:rPr>
          <w:b/>
        </w:rPr>
        <w:t>E. 5.2</w:t>
      </w:r>
    </w:p>
    <w:p>
      <w:r>
        <w:t>Die Beschwerdeführerin wendet dagegen ein, es gehe nicht an, dass die Vorinstanz aufgrund belangloser Differenzen zwischen der ersten und zweiten Anhörung von der Unglaubhaftigkeit aller Aussagen ausgehe. Die vorgebrachten Widersprüche seien nicht entscheidrelevant. Aus ihren detaillierten Ausführungen gehe eindeutig hervor, dass sie das Erzählte selbst erlebt habe. Die Vorinstanz habe sämtliche positiven Elemente und Realkennzeichen unberücksichtigt gelassen. Ihre Aussagen würden durch logische Konsistenz, Ausführlichkeit sowie Detailreichtum auffallen. Sie habe in keiner Weise zu übertreiben versucht und sich stets auf ihr eigenes Wissen gestützt. Die von der Vorinstanz aufgezählten Widersprüche würden nicht existieren, könnten nicht nachvollzogen werden oder seien nicht entscheidrelevant. Ebenfalls nicht entscheidrelevant sei, aus welchen Motiven sie sich zur Hilfeleistung entschlossen habe. Des Weiteren könne aufgrund der Krankheit ihrer Mutter sehr wohl nachvollzogen werden, dass sie sich für Kranke und Verletzte habe einsetzen wollen.</w:t>
      </w:r>
    </w:p>
    <w:p>
      <w:r>
        <w:rPr>
          <w:b/>
        </w:rPr>
        <w:t>E. 5.3</w:t>
      </w:r>
    </w:p>
    <w:p>
      <w:r>
        <w:t>Die vorinstanzlichen Schlussfolgerungen sind weder in tatsächlicher noch in rechtlicher Hinsicht zu beanstanden. Die Vorinstanz führt in der angefochtenen Verfügung eingehend aus, warum die Vorbringen der Beschwerdeführerin nicht glaubhaft sind.</w:t>
      </w:r>
    </w:p>
    <w:p>
      <w:r>
        <w:rPr>
          <w:b/>
        </w:rPr>
        <w:t>E. 5.3.1</w:t>
      </w:r>
    </w:p>
    <w:p>
      <w:r>
        <w:t>In den Aussagen der Beschwerdeführerin finden sich zahlreiche Widersprüche in Kernpunkten. Sie macht zur Anzahl der Hilfeleistungen unterschiedliche Angaben. So geht aus der ersten Anhörung hervor, dass sie drei Mal in B._______ gewesen sei, um Medikamente zu bringen und Verletzte und Kranke zu pflegen. So habe die Gruppierung sie und ihre Kollegen beim dritten Mal nicht nach Hause gehen lassen und sie habe dort übernachtet (SEM-Akten, B20/15 F24 und F41 ff.). Danach sei ihr Kollege verschwunden, weshalb sie sich entschieden habe, zu verschwinden (SEM-Akten, B20/15 F24 und F47 ff.). In der zweiten Anhörung spricht sie jedoch von bis zu sechs Einsätzen (SEM-Akten, B24/12 F29 und F52). Unklar bleibt ebenfalls, in welchem Zeitpunkt die Beschwerdeführerin gemerkt habe, dass sie und ihre Kollegen nicht nur Medikamente, sondern auch Waffen transportiert hätten. Dazu bringt sie in der ersten Anhörung vor, sie habe dies von ihrer Kollegin erfahren, als diese ihr mitgeteilt habe, dass ihr Kollege verschwunden sei (SEM-Akten, B20/15 F24). Vorher habe sie nur eine Vermutung gehabt, sei sich jedoch nicht sicher gewesen (SEM-Akten, B20/15 F56). Während sie in der zweiten Anhörung vorerst wieder zu Protokoll gibt, dass sie von ihrer Kollegin erfahren habe, dass sie auch Waffen geliefert hätten (SEM-Akten, B24/12 F7), bringt sie später vor, sie habe bereits vor Ort gesehen, wie aus dem Auto Waffen ausgeladen worden seien (SEM-Akten, B24/12 F43). Gleiches gibt sie auch an der BzP zu Protokoll (SEM-Akten, B6/13 S. 8). Diese Aussagen sind nicht miteinander vereinbar. Die Vorinstanz führt weiter zutreffend aus, dass die Beschwerdeführerin ebenfalls unterschiedliche Angaben dazu mache, von wem sie vom Verschwinden ihres Kollegen erfahren habe. Gemäss ihrer Aussagen in der ersten Anhörung habe sie dies von einer Frau namens C._______ erfahren (SEM-Akten, B20/15 F51 f.). In der zweiten Anhörung hingegen sagt sie, sie habe von D._______ erfahren, dass ihr Kollege verhaftet worden sei (SEM-Akten, B24/12 F45). Auf diesen Widerspruch angesprochen führt sie aus, C._______ habe ihr eine Mitteilung geschickt, D._______ sei jedoch zu ihr nach Hause gekommen und habe ihr dies erzählt (SEM-Akten, B24/12 F55). Dies überzeugt nicht, zumal sie in ihrer ersten Anhörung nicht von einer Nachricht von C._______ spricht, sondern klarerweise kundtut, C._______ habe ihr davon erzählt (SEM-Akten, B20/15 F51). Weitere Widersprüche finden sich in der vorgebrachten Anzahl von Frauen von der PYD, die zu ihr gekommen seien (vgl. SEM-Akten, B20/15 F24 und B24/12 F7) sowie in den Vorbringen zu ihrem Nachbarn, der angeblich als Spitzel für die syrische Regierung gearbeitet habe (vgl. SEM-Akten, B6/13 S. 8 und B20/15 F25 f. und F68 ff.). In Anbetracht dessen, dass die Beschwerdeführerin in der BzP angegeben hat, dass der Nachbar sie zwar als Spitzel habe rekrutieren wollen, sie deshalb aber keine Probleme gehabt habe, müssen ihre diesbezüglichen Vorbringen in den weiteren Anhörungen als nachgeschoben qualifiziert werden. Ebenfalls unklar bleibt, ob die Beschwerdeführerin von ihrem Vater oder ihrem Onkel erfahren habe, ob sie zu Hause gesucht worden sei, sowie wie viele Male sie gesucht worden sei (vgl. SEM-Akten, B6/13 S. 8, B20/15 F63 f. und B24/12 F7). Diese Widersprüche kann die Beschwerdeführerin auch auf Beschwerdeebene nicht überzeugend begründen. Keine Ungereimtheiten finden sich jedoch in den Aussagen der Beschwerdeführerin dazu, ob sie ihre Hilfsgruppe selbst gegründet habe oder aber dieser beigetreten sei, zumal sie sich bei der Rückübersetzung hierzu korrigiert (vgl. SEM-Akten, B20/15 S. 13). Dass die vorhergehend aufgezählten Widersprüche nicht entscheidwesentlich seien, muss verneint werden, da diese grösstenteils ihr Hauptvorbringen, nämlich die Hilfeleistung für die Gruppierung Ahrar Al-Sham, betreffen.</w:t>
      </w:r>
    </w:p>
    <w:p>
      <w:r>
        <w:rPr>
          <w:b/>
        </w:rPr>
        <w:t>E. 5.3.2</w:t>
      </w:r>
    </w:p>
    <w:p>
      <w:r>
        <w:t>Weiter führt die Vorinstanz zutreffend aus, dass es Fragen aufwerfe, wenn die Beschwerdeführerin erzähle, dass ihr mit Waffen beladenes Auto ohne Probleme Kontrollposten des Regimes habe passieren können, zumal sie diese Waffen zu den Gegnern des Regimes gebracht haben. Ebenfalls nicht nachvollziehbar ist, dass sich die Beschwerdeführerin, ohne sich genauer zu informieren, einer Gruppe angeschlossen habe, die Waffen und Medikamente für die islamistisch-salafistische Gruppierung Ahrar Al-Sham geliefert habe. Dass es ihr alleine darum gegangen sei, Verletzten zu helfen, vermag diese vermeintliche Naivität nicht zu erklären.</w:t>
      </w:r>
    </w:p>
    <w:p>
      <w:r>
        <w:rPr>
          <w:b/>
        </w:rPr>
        <w:t>E. 5.3.3</w:t>
      </w:r>
    </w:p>
    <w:p>
      <w:r>
        <w:t>Aufgrund der umfangreichen und teilweise detaillierten Aussagen der Beschwerdeführerin muss davon ausgegangen werden, dass sie aus der von ihr geschilderten Motivation (ihre Mutter sei an Krebs gestorben, weshalb sie Menschen habe helfen wollen) tatsächlich medizinische Hilfe geleistet hat. Ihre Vorbringen weisen jedoch in den Kernpunkten (Waffenlieferungen, Anschluss an die genannte Gruppierung, Verhaftung ihres Kollegen) zu viele Widersprüche und Ungereimtheiten auf und müssen deshalb als unglaubhaft qualifiziert werden. Schliesslich kann ihr aufgrund ihrer unglaubhaften Aussagen auch nicht geglaubt werden, dass ihr Vater ihretwegen in Haft gewesen sei. Die hierzu eingereichte "Allegation of Arrest" kann weder beweisen, dass ihr Vater tatsächlich inhaftiert wurde noch dass dies ihretwegen geschehen ist. Auch aus den weiteren im vorinstanzlichen Verfahren eingereichten Beweismitteln kann sie nichts zu ihren Gunsten ableiten.</w:t>
      </w:r>
    </w:p>
    <w:p>
      <w:r>
        <w:rPr>
          <w:b/>
        </w:rPr>
        <w:t>E. 5.3.4</w:t>
      </w:r>
    </w:p>
    <w:p>
      <w:r>
        <w:t>Die Beschwerdeführerin bringt auf Beschwerdeebene im Sinne von objektiven Nachfluchtgründen vor, sie gehöre der kurdischen Minderheit an, weshalb sie besonders gefährdet sei. Kurden würden in Syrien im heutigen Zeitpunkt kollektiv verfolgt und seien deshalb als Flüchtlinge zu betrachten. Diesbezüglich ist zunächst auf die sehr hohen Voraussetzungen einer Kollektivverfolgung zu verweisen (BVGE 2014/32 E. 7.2; BVGE 2011/16 E. 5, je m.w.H.). Die Beschwerdeführerin ist syrische Staatsangehörige und - anders als staatenlose, nicht registrierte und damit weitgehend rechtlose Kurden (Maktumin) - grundsätzlich keinen statusbedingten Restriktionen und Diskriminierungen ausgesetzt. Diese Feststellung gilt auch in der heutigen Bürgerkriegssituation, selbst wenn nicht bestritten wird, dass die generelle Sicherheitslage angesichts der vielfältigen Kampfhandlungen zwischen den verschiedenen Gruppierungen prekär ist. Weiter lässt sich aus den allgemein zugänglichen Länderberichten nicht entnehmen, dass sämtliche in Syrien verbliebenen Kurden eine objektiv begründete Furcht vor Verfolgung hätten (vgl. statt vieler: Urteil des BVGer E-5710/2014 vom 30. Juli 2015 E. 5.3). Die Notwendigkeit weiterer diesbezüglicher Abklärungen, wie sie die Beschwerdeführerin auf Beschwerdeebene fordert, ist nicht ersichtlich. Im Übrigen kann aus der Zugehörigkeit der Beschwerdeführerin zur kurdischen Ethnie keine gesteigerte begründete Furcht vor einer gezielt gegen sie gerichteten Verfolgung durch den sogenannten Islamischen Staat abgeleitet werden. Insgesamt ist festzuhalten, dass sich die von der Beschwerdeführerin geltend gemachte Gefährdung aus der allgemeinen Bürgerkriegssituation ergibt, welcher mit der vorläufigen Aufnahme angemessen Rechnung getragen wurde.</w:t>
      </w:r>
    </w:p>
    <w:p>
      <w:r>
        <w:rPr>
          <w:b/>
        </w:rPr>
        <w:t>E. 5.4</w:t>
      </w:r>
    </w:p>
    <w:p>
      <w:r>
        <w:t>Zusammenfassend ist festzuhalten, dass die Beschwerdeführerin weder Vorfluchtgründe noch objektive oder subjektive Nachfluchtgründe glaubhaft machen oder nachweisen kann. Die Vorinstanz hat ihr Asylgesuch zu Recht abgelehnt.</w:t>
      </w:r>
    </w:p>
    <w:p>
      <w:r>
        <w:rPr>
          <w:b/>
        </w:rPr>
        <w:t>E. 6</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auch sonst nicht zu beanstanden ist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9</w:t>
      </w:r>
    </w:p>
    <w:p>
      <w:r>
        <w:t>Die Beschwerdeführerin beantragt die Gewährung der unentgeltlichen Prozessführung gemäss Art. 65 Abs. 1 VwVG. Ihre Bedürftigkeit ist durch die eingereichte Fürsorgebestätigung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