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E-4230/2016 vom 21. Juli 2016</w:t>
      </w:r>
    </w:p>
    <w:p>
      <w:r>
        <w:t>Bundesverwaltungsgericht, 2016-07-21, DE</w:t>
      </w:r>
    </w:p>
    <w:p>
      <w:r>
        <w:rPr>
          <w:b/>
        </w:rPr>
        <w:t xml:space="preserve">Quelle: </w:t>
      </w:r>
      <w:r>
        <w:t>https://mcp.opencaselaw.ch/entscheid/bvger_E-4230_2016</w:t>
      </w:r>
    </w:p>
    <w:p>
      <w:r>
        <w:t>FR: TAF E-4230/2016 du 21 juillet 2016</w:t>
      </w:r>
    </w:p>
    <w:p>
      <w:r>
        <w:t>IT: TAF E-4230/2016 del 21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Beschwerdeführenden werfen der Vorinstanz verschiedene Rechtsverletzungen vor. Sie rügen Gehörsverletzungen inklusive Akteneinsichtsrecht (E. 4), eine Verletzung der Pflicht zur vollständigen und richtigen Abklärung des rechtserheblichen Sachverhaltes sowie die Verletzung weiterer Gesetzesbestimmungen, insbesondere Art. 3 BV und Art. 9 BV (E. 5).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Rügen der Gehörsverletzung gehen fehl. Die Verfügung der Vorinstanz ist - entgegen den Zitaten aus den Befragungsprotokollen auf Beschwerdeebene und den seitenweisen Vorwürfen unerwähnter Details - ausreichend begründet, zumal sie sich nicht mit jedem einzelnen Vorbringen auseinandersetzen muss. Dass eine sachgerechte Anfechtung möglich war, zeigt die Beschwerde selbst. In Bezug auf die Unzumutbarkeit des Wegweisungsvollzugs können die Beschwerdeführenden eine Verletzung der Begründungspflicht schon deshalb nicht geltend machen, weil die Vorinstanz diesbezüglich zu ihren Gunsten entschieden hat. Der Begründungspflicht ist mithin Genüge getan.</w:t>
      </w:r>
    </w:p>
    <w:p>
      <w:r>
        <w:rPr>
          <w:b/>
        </w:rPr>
        <w:t>E. 4.3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Bei den in Frage stehenden Akten (A 43/2) handelt es sich ohnehin um verwaltungsinterne Akten, womit kein Anspruch auf Einsicht besteht. Dies, weil verhindert werden soll, dass die ganze Meinungsbildung der Verwaltung vor der Öffentlichkeit ausgebreitet wird (BGE 122 I 153 E. 6a). Mithin sind die Anträge auf vollumfängliche Akteneinsicht in A43/2, rechtliches Gehör hierzu sowie anschliessende Beschwerdeergänzung beziehungsweise Stellungnahme zu diesen abzuweisen und festzustellen, dass die Vorinstanz das Akteneinsichtsrecht nicht verletzt hat. Ferner ist auch die Paginierungs- und Aktenführungspflicht nicht verletzt, was bereits die Informationen zeigen, die dem Rechtsvertreter aufgrund des Aktenverzeichnisses vorliegen. Die auf Beschwerdeebene hierzu zitierte Rechtsprechung ist nicht einschlägig (Beschwerde, S. 4 f.).</w:t>
      </w:r>
    </w:p>
    <w:p>
      <w:r>
        <w:rPr>
          <w:b/>
        </w:rPr>
        <w:t>E. 4.4</w:t>
      </w:r>
    </w:p>
    <w:p>
      <w:r>
        <w:t>Andere Gehörsverletzungen sind nicht ersichtlich. Die Rüge der Gehörsverletzung geht fehl. Die entsprechenden Anträge sind abzuweisen.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geht ebenfalls fehl. Der Vorwurf, die Vorinstanz behaupte, die Beschwerdeführenden hätten keinerlei Beweismittel eingereicht, ist aktenwidrig. Die Vorinstanz hat die Kopie korrekt im Dossier abgelegt und musste nicht weiter darauf eingehen, zumal einer Kopie - wenn überhaupt - nur ein sehr geringer Beweiswert zukommt und ein Familienbüchlein vorliegend am Beweisergebnis nichts zu ändern vermag (E. 6.4). Die weiteren fehlerhaften Rügen zeugen von pauschal und ungenau getätigter Kritik. So rügt der Rechtsvertreter beispielsweise die Verletzung von Art. 3 BV. Dieser betrifft jedoch die Kompetenzverteilung zwischen Bund und Kantonen, womit er vorliegend in keiner Weise einschlägig ist (Beschwerde S. 3). Sodann hat das Willkürverbot keinen selbstständigen Gehalt, weil das Bundesverwaltungsgericht Tat- und Rechtsfragen mit voller Kognition überprüft. Es ist festzustellen, dass im vorliegenden Verfahren eine Verletzung der Begründungspflicht nicht ersichtlich ist, weil sich die Vorinstanz mit den entscheidwesentlichen Vorbringen auseinandergesetzt hat. Zusätzliche Abklärungen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weshalb auch aus diesem Grund die entsprechenden Anträge abzuweisen sind. Wie im Folgenden zu zeigen sein wird, sind auch die Beweiswürdigung und die Rechtsanwendung der Vorinstanz nicht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Keine Flüchtlinge sind Personen, die wegen Wehrdienstverweigerung oder Desertion ernsthaften Nachteilen ausgesetzt sind oder begründete Furcht haben, solchen Nachteilen ausgesetzt zu werden (Art. 3 Abs. 3 AsylG).</w:t>
      </w:r>
    </w:p>
    <w:p>
      <w:r>
        <w:rPr>
          <w:b/>
        </w:rPr>
        <w:t>E. 6.3</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Erklärungsversuchen, womit es ihr nicht gelingt aufzuzeigen, inwiefern die vorinstanzliche Beweiswürdigung Bundesrecht verletzen oder zu einer rechtsfehlerhaften Sachverhaltsfeststellung führen soll. Solches ist auch nicht ersichtlich. Die angegebenen Ausreisegründe lassen sich wie folgt einteilen: Bürgerkrieg, Suche des Onkels und Angst vor Rekrutierung, wobei letzteres "das fluchtauslösende Moment" (Beschwerde S. 6) gewesen sein soll. Zum ersten Vorbringen ist zusammen mit der Vorinstanz festzustellen, dass allgemeine, im Rahmen des Krieges erlittene Nachteile, keine Verfolgung im Sinne des Asylgesetzes darstellen. Die diesbezüglichen Beschwerdeausführungen und Rechtsprechungszitate vermögen hieran nichts zu ändern (Beschwerde S. 14 ff.). Was die angebliche Suche der Behörden nach dem Onkel des Beschwerdeführers anbelangt, ist der Vorinstanz ebenso beizupflichten, dass diese - wenn überhaupt - dem Onkel galt und keine weiteren Konsequenzen für die Beschwerdeführenden hatte, was der Beschwerdeführer selbst bestätigt (SEM-Akten, A8, S. 8 und A41, S. 3). Hinzu kommt, dass die Hausbesuche der Behörden unglaubhaft sind. So kann der Beschwerdeführer beispielsweise nicht einmal ungefähr angeben, wann das Problem mit dem Onkel begonnen haben soll ("Ich kann Ihnen kein einziges Datum nennen", SEM-Akten, A41, S. 3). Dies entschuldigt er unzutreffend damit, dass "man nicht an Wochentage, an Monate oder an Jahre" in Syrien denke (SEM-Akten, A41, S. 3). Gemäss Zweitbefragung sollen die Behörden nur das erste Mal wegen seines Onkels gekommen sein (SEM-Akten, A41, S. 5), was nicht den Ausführungen in der Erstbefragung entspricht (SEM-Akten, A8, S. 7 f.). Die diesbezügliche Schlussfolgerung der Vorinstanz ist nicht zu beanstanden. Die weitschweifigen Vorwürfe, was die Vorinstanz alles in Bezug auf den Onkel hätte erwägen sollen, ändern hieran ebenso wenig, wie der Verweis auf familiäre Strukturen in Syrien oder auf SFH-Berichte. Schliesslich ist bereits wegen der Unglaubhaftigkeit die hierzu zitierte Rechtsprechung nicht einschlägig. Was die Angst vor einer Rekrutierung ("das fluchtauslösende Moment") anbelangt, bestätigt die Beschwerde selbst, dass noch nicht einmal feststeht, ob der Beschwerdeführer überhaupt diensttauglich ist, womit dieser Angst der Boden entzogen ist (Beschwerde, S. 14). Weiter bestätigt die Beschwerde, dass der Beschwerdeführer nie im Besitz eines Militärbüchleins war (Beschwerde S. 14 und SEM-Akten, A8, S. 8, A41, S. 4). Er will ferner auch keine schriftliche Aufforderung zum Dienst empfangen haben, sondern lediglich mündlich hierüber von seinem Grossvater informiert worden sein. Dies genügt jedoch offensichtlich nicht, um eine asylrelevante Militärdienstpflicht zu begründen oder glaubhaft zu machen (statt vieler Urteile des BVGer D-4129/2014 vom 9. Februar 2016 oder E-781/2016 vom 2. März 2016, wonach nicht einmal ein Militärbüchlein oder eine Reservistenkarte eine Aufforderung zum Militärdienst zu belegen vermögen). Die Vorinstanz hat bereits zutreffend ausgeführt, dass es für die Annahme einer begründeten Furcht vor zukünftiger Rekrutierung nicht ausreicht, wenn eine Person lediglich im dienstfähigen Alter ist und befürchtet, irgendwann ausgehoben zu werden. Hinzu kommt, dass die Hausbesuche unglaubhaft sind. So macht der Beschwerdeführer äusserst vage Zeitangaben zu den Behördenbesuchen im Allgemeinen (z. B. "oft" oder "ich weiss es nicht, habe keine Ahnung"). Stereotyp ist auch, dass er nie persönlichen Kontakt mit den Behörden gehabt haben will und nur über seinen Grossvater an die Informationen gelangt sein soll (SEM-Akten, A41, S. 3 ff.). Ferner sollen gemäss Erstbefragung die Behörden in letzter Zeit nicht mehr in der Region des Beschwerdeführers vertreten gewesen sein und trotzdem sollen diese ihn nicht in Ruhe gelassen haben (SEM-Akten, A8, S. 7 f.). Den zutreffenden Ausführungen seitens der Vorinstanz wird auf Beschwerdeebene auch nichts Stichhaltiges entgegengebracht. Vielmehr wird erneut auf die Kopie eines Familienbüchleins verwiesen, welches jedoch - selbst wenn es im Original beiliegen würde - nichts am Beweisergebnis zu ändern vermag. Auch aus den zitierten Stellen der Befragungsprotokolle kann der Beschwerdeführer nichts zu seinen Gunsten ableiten. Dass dieser in wenigen Sätzen erwähnt haben soll, drei Nachbarsfreunde seien von der YPG verhaftet worden, ändert am Beweisergebnis ebenso wenig, wie der pauschale Satz, die Beschwerdeführerin könne in Zukunft allenfalls von Apo-Leuten zwangsrekrutiert werden. Gleiches gilt für die Vermutungen auf Beschwerdeebene, was mit manchen Aussagen implizit hätte gemeint sein können oder was der Vater der Beschwerdeführerin möglichenfalls verheimlicht haben könnte. Weitere Abklärungen betreffend Vater der Beschwerdeführerin sind keine durchzuführen. Um Wiederholungen zu vermeiden, ist auf die zutreffenden Ausführungen der Vorinstanz zu verweisen.</w:t>
      </w:r>
    </w:p>
    <w:p>
      <w:r>
        <w:rPr>
          <w:b/>
        </w:rPr>
        <w:t>E. 7</w:t>
      </w:r>
    </w:p>
    <w:p>
      <w:r>
        <w:t>Zusammenfassend ist festzuhalten, dass der Beschwerdeführer keine Fluchtgründe glaubhaft machen oder nachweisen kann. Die Vorinstanz hat zu Recht auf Erörterungen zur Asylrelevanz verzichtet und das Asylgesuch folgerichtig abgelehnt.</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und vollständig feststellt (Art. 106 Abs. 1 AsylG). Die Beschwerde ist abzuweisen. Mit Einreichung der Sozialhilfebestätigung vom 12. Juli 2016 ist der Antrag auf Fristsetzung zur Nachreichung einer solchen gegenstandslos geworden.</w:t>
      </w:r>
    </w:p>
    <w:p>
      <w:r>
        <w:rPr>
          <w:b/>
        </w:rPr>
        <w:t>E. 11.1</w:t>
      </w:r>
    </w:p>
    <w:p>
      <w:r>
        <w:t>Die Beschwerdeführerenden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11.2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beziehungsweise der Eventualantrag, es sei eine Frist zur Bezahlung des Kostenvorschusses anzusetzen,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