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E-422/2024 vom 19. Dezember 2023</w:t>
      </w:r>
    </w:p>
    <w:p>
      <w:r>
        <w:t>Bundesverwaltungsgericht, 2023-12-19, DE</w:t>
      </w:r>
    </w:p>
    <w:p>
      <w:r>
        <w:rPr>
          <w:b/>
        </w:rPr>
        <w:t xml:space="preserve">Quelle: </w:t>
      </w:r>
      <w:r>
        <w:t>https://mcp.opencaselaw.ch/entscheid/bvger_E-422_2024_d20231219</w:t>
      </w:r>
    </w:p>
    <w:p>
      <w:r>
        <w:t>FR: TAF E-422/2024 du 19 décembre 2023</w:t>
      </w:r>
    </w:p>
    <w:p>
      <w:r>
        <w:t>IT: TAF E-422/2024 del 19 dicembre 2023</w:t>
      </w:r>
    </w:p>
    <w:p>
      <w:pPr>
        <w:pStyle w:val="Heading2"/>
      </w:pPr>
      <w:r>
        <w:t>Regeste</w:t>
      </w:r>
    </w:p>
    <w:p>
      <w:r>
        <w:t>Asyl und Wegweisung | Asile et renvoi; décision du SEM du 19 décembre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E-422/2024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 tenwechsels verzichtet werden.</w:t>
      </w:r>
    </w:p>
    <w:p>
      <w:r>
        <w:rPr>
          <w:b/>
        </w:rPr>
        <w:t>E. 4</w:t>
      </w:r>
    </w:p>
    <w:p>
      <w:r>
        <w:t>Das vorliegende Verfahren wird mit dem Verfahren E-529/2024 (N._______, N […] [Schwester des Beschwerdeführers]) zeitlich koordi- niert, im gleichen Spruchkörper behandelt und es werden die entsprechen- den Akten beigezogen. Die vorinstanzlichen Akten des Bruders O._______ des Beschwerdeführers wurden im vorliegenden Beschwerdeverfahren von Amtes wegen beigezogen (N […]).</w:t>
      </w:r>
    </w:p>
    <w:p>
      <w:r>
        <w:rPr>
          <w:b/>
        </w:rPr>
        <w:t>E. 5</w:t>
      </w:r>
    </w:p>
    <w:p>
      <w:r>
        <w:t>Vom Beschwerdeführer wird im Sinne eines Eventualbegehrens die Rück- weisung der Sache an die Vorinstanz beantragt. Begründet wird der Antrag nicht näher und es ist nicht ersichtlich, inwiefern der Sachverhalt vom SEM unrichtig oder unvollständig festgestellt oder der Anspruch auf rechtliches Gehör verletzt worden wäre. Für die Kassation der angefochtenen Verfü- gung besteht offensichtlich kein Anlass.</w:t>
      </w:r>
    </w:p>
    <w:p>
      <w:r>
        <w:t>E-422/2024 Seite 7</w:t>
      </w:r>
    </w:p>
    <w:p>
      <w:r>
        <w:rPr>
          <w:b/>
        </w:rPr>
        <w:t>E. 6.1</w:t>
      </w:r>
    </w:p>
    <w:p>
      <w:r>
        <w:t>Die Vorinstanz führte in der angefochtenen Verfügung im Wesentlichen aus, der Beschwerdeführer sei während der Ereignisse von 20(…) nie per- sönlich Ziel der Imonerakure und der burundischen Behörden gewesen. In Bezug auf den Angriff auf die Kirche seines Vaters am (…) 20(…) habe er erklärt, dass Imbonerakure, begleitet von Polizisten, die Kirchentüre aufge- brochen hätten, auf die Gemeindemitglieder zugestürmt seien, seinen Va- ter mit einer Machete geschlagen und den Beschwerdeführer bewusstlos geprügelt hätten. Es sei daher festzustellen, dass der Angriff nicht gegen den Beschwerdeführer persönlich gerichtet gewesen sei, sondern gegen alle Personen, die in der Kirche Zuflucht gefunden hätten. Weiter sei sein Vater in seiner Eigenschaft als Pastor Ziel des Angriffs gewesen. Weder der Beschwerdeführer noch sein Vater seien in Burundi politisch tätig ge- wesen. Zudem sei festzustellen, dass der Vater des Beschwerdeführers verstorben sei, weshalb eine begründete Furcht vor flüchtlingsrechtlich re- levanter Verfolgung aufgrund der Position seines Vaters nicht vorliege. Eine Reflexverfolgung sei somit vorliegend nicht gegeben.</w:t>
      </w:r>
    </w:p>
    <w:p>
      <w:r>
        <w:rPr>
          <w:b/>
        </w:rPr>
        <w:t>E. 6.2</w:t>
      </w:r>
    </w:p>
    <w:p>
      <w:r>
        <w:t>Der Beschwerdeführer erwidert in seiner Beschwerde, dass er bei einer Rückkehr nach Burundi einer Verfolgung aufgrund seiner ethnischen Zu- gehörigkeit ausgesetzt wäre und er bereits in der Vergangenheit wiederholt Beleidigungen und Drohungen ausgesetzt gewesen sei. Zudem werde er im Falle einer Rückkehr nach Burundi von den Behörden verfolgt, da diese über den Brief, welcher er an den (…) Präsidenten, die Vereinten Nationen, das UNHCR sowie in Kopie an den Kommandanten des Lagers geschrie- ben habe, informiert worden seien. In diesem Zusammenhang mache ihn die Identifikationsnummer auf der Liste der Unterzeichner, die dem Schrei- ben beigefügt gewesen sei, „leicht identifizierbar“. Zudem bestehe auf- grund der früheren Aktivitäten seines Vaters die Gefahr einer gezielten Ver- folgung. Dass seine Mutter und seine Schwester Repressalien ausgesetzt gewesen seien, belege das Vorhandensein einer «echten und drohenden» Verfolgung.</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E-422/2024 Seite 8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in Art. 3 Abs. 1 AsylG erwähnten fünf Verfolgungsmo- tive sind über die sprachlich allenfalls engere Bedeutung ihrer Begrifflich- keit hinaus so zu verstehen, dass die Verfolgung wegen äusserer oder in- nerer Merkmale, die untrennbar mit der Person oder Persönlichkeit des Opfers verbunden sind, erfolgt ist beziehungsweise droht (vgl. BVGE 2014/27 E. 6.3). Aufgrund der Subsidiarität des flüchtlingsrechtlichen Schutzes setzt die Anerkennung der Flüchtlingseigenschaft ausserdem vo- raus, dass die betroffene Person in ihrem Heimat- oder Herkunftsstaat kei- nen ausreichenden Schutz finden kann (vgl. BVGE 2008/12 E. 7.2.6.2; 2008/4 E. 5.2). Massgeblich für die Beurteilung der Flüchtlingseigenschaft ist die Situation im Zeitpunkt des Entscheides, wobei erlittene Verfolgung oder im Zeitpunkt der Ausreise bestehende begründete Furcht vor Verfol- gung auf andauernde Gefährdung hinweisen kann. Veränderungen der Si- tuation zwischen Ausreise und Asylentscheid sind zu Gunsten und zu Las- ten der asylsuchenden Person zu berücksichtigen (vgl. BVGE 2010/57 E. 2; 2010/9 E. 5.2; 2007/31 E. 5.3 f., jeweils m.w.H.).</w:t>
      </w:r>
    </w:p>
    <w:p>
      <w:r>
        <w:rPr>
          <w:b/>
        </w:rPr>
        <w:t>E. 8.1</w:t>
      </w:r>
    </w:p>
    <w:p>
      <w:r>
        <w:t>Bei dem vom Beschwerdeführer vorgetragenen Überfall auf die Kirche, in welcher sein Vater – welcher sich für Familien von Inhaftierten eingesetzt hat – Pastor gewesen ist, vermag er nicht aufzuzeigen, welchen persönli- chen Bezug der Angriff der Imbonerakure auf seine Person gehabt haben</w:t>
      </w:r>
    </w:p>
    <w:p>
      <w:r>
        <w:t>E-422/2024 Seite 9 soll. Ein solcher ist auch aus den Ausführungen anlässlich der Anhörungen nicht zu erkennen. Das Verhalten der Imbonerakure erscheint nicht als ge- zielt gegen ihn gerichtet.</w:t>
      </w:r>
    </w:p>
    <w:p>
      <w:r>
        <w:rPr>
          <w:b/>
        </w:rPr>
        <w:t>E. 8.2</w:t>
      </w:r>
    </w:p>
    <w:p>
      <w:r>
        <w:t>Der Beschwerdeführer bringt weiter vor, er werde aufgrund des von ihm verfassten Briefes an die Lagerleitung in D._______, in welchem er die Be- dingungen im Lager kritisiert habe und welcher an die Behörden gelangt sei, durch letztere verfolgt, da er dadurch das Ansehen Burundis beschä- digt habe. Aufgrund seiner auf dem Brief ersichtlichen Identitätsnummer sei er durch die (…) Behörden identifiziert und ins Haus eines Komman- danten gebracht worden. Dieser habe seinen Kopf mehrmals ins Wasser getaucht und mit Rache gedroht, bevor er ihn schliesslich freigelassen habe (vgl. SEM-act. 44/14 F19). Hierzu ist festzuhalten, dass der Be- schwerdeführer vom Kommandanten zwar bedroht, aber wieder freigelas- sen wurde, was weder auf ein im Ausreisezeitpunkt Bestehendes noch an- haltendes flüchtlingsrechtlich relevantes Verfolgungsinteresse der burundi- schen Behörden schliessen lässt.</w:t>
      </w:r>
    </w:p>
    <w:p>
      <w:r>
        <w:rPr>
          <w:b/>
        </w:rPr>
        <w:t>E. 8.3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 Die erlittene Verfolgung beziehungsweise die begründete Furcht vor zukünftiger (Reflex-)Verfolgung muss sachlich und zeitlich kausal für die Ausreise aus dem Heimat- oder Herkunftsstaat und grundsätzlich auch im Zeitpunkt des Asylentscheides noch aktuell sein. Wie oben festgestellt wird, lag vor der Ausreise des Beschwerdeführers aus Burundi keine Ver- folgungssituation vor, welche den Anforderungen von Art. 3 AsylG entspre- chen würde. Wie das SEM zu Recht festhielt, wurde der Vater von den burundischen Behörden nicht gezielt verfolgt. Gemäss den Ausführungen des Beschwerdeführers anlässlich seiner Anhörungen habe sein Vater mit niemandem Probleme gehabt. Er habe den Menschen geholfen und das Wort Gottes gepredigt. Ebenfalls habe er die Menschen aufgerufen, nie- manden wegen ethnischer Probleme zu töten (vgl. SEM-act. 44/14 F35). Schliesslich geht aus seinen Aussagen hervor, dass auch sein Vater nie politisch aktiv war (vgl. SEM-act. 44/14 F45). Somit ist nicht ersichtlich, dass vor seiner Ausreise eine Reflexverfolgung aufgrund der Tätigkeiten seines Vaters vorlag. Dasselbe gilt für eine allfällige Furcht vor</w:t>
      </w:r>
    </w:p>
    <w:p>
      <w:r>
        <w:t>E-422/2024 Seite 10 Reflexverfolgung im Zusammenhang mit seinem Bruder. Diesbezüglich ist zu betonen, dass dieser, wie der Beschwerdeführer und sein Vater, weder politisch aktiv war, noch Probleme mit den Behörden seines Landes hatte. Die Aussagen des Beschwerdeführers lassen erkennen, dass die Angriffe auf seinen Bruder nicht auf diesen persönlich zielten (vgl. a.a.O.). Nach dem Gesagten ist bei einer Rückkehr des Beschwerdeführers nicht von einer ernsthaften Furcht vor Reflexverfolgung im flüchtlingsrechtlich rele- vanten Sinne auszugehen.</w:t>
      </w:r>
    </w:p>
    <w:p>
      <w:r>
        <w:rPr>
          <w:b/>
        </w:rPr>
        <w:t>E. 8.4</w:t>
      </w:r>
    </w:p>
    <w:p>
      <w:r>
        <w:t>Der Beschwerdeführer führte weiter aus, er sei nur «gehasst» worden, weil er ein Angehöriger der Tutsi sei (vgl. SEM-act. 44/14 F45). Nach stän- diger Rechtsprechung des BVGer liegt aber keine Kollektivverfolgung von Tutsi in Burundi vor (vgl. u.a. Urteile des BVGer E-6943/2023 vom 26. Feb- ruar 2024 E. 3.2.4; E-3021/2023 vom 29. November 2023 E. 4.1.1 m.w.H.; E-3021/2023 vom 29. November 2023 E. 4.1.1 m.w.H.; vgl. auch «Burundi: information sur la situation des Tutsis, y compris les Tutsis provenant de l'élite; le traitement qui leur est réservé par les autorités et par la société; et la protection qui leur est offerte (décembre 2015-février 2017)» &lt; https://www.refworld.org/docid/58cfba804.html &gt; [abgerufen am 3. Fe- bruar 2025]).</w:t>
      </w:r>
    </w:p>
    <w:p>
      <w:r>
        <w:rPr>
          <w:b/>
        </w:rPr>
        <w:t>E. 8.5</w:t>
      </w:r>
    </w:p>
    <w:p>
      <w:r>
        <w:t>Aus dem Gesagten ergibt sich, dass das SEM das Asylgesuch zu Recht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10.1.1</w:t>
      </w:r>
    </w:p>
    <w:p>
      <w:r>
        <w:t>Ist der Vollzug der Wegweisung nicht zulässig, nicht zumutbar oder nicht möglich, so regelt das SEM das Anwesenheitsverhältnis nach den gesetzlichen Bestimmungen über die vorläufige Aufnahme (Art. 44 AsylG; Art. 83 Abs. 1 AIG [SR 142.20]).</w:t>
      </w:r>
    </w:p>
    <w:p>
      <w:r>
        <w:t>E-422/2024 Seite 11</w:t>
      </w:r>
    </w:p>
    <w:p>
      <w:r>
        <w:rPr>
          <w:b/>
        </w:rPr>
        <w:t>E. 10.1.2</w:t>
      </w:r>
    </w:p>
    <w:p>
      <w:r>
        <w:t>Beim Geltendmachen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 der Beschwerdeführer die Flüchtlingseigenschaft nicht erfüllt, ist das flüchtlingsrechtliche Rückschiebungsverbot von Art. 33 Abs. 1 FK und Art. 5 AsylG nicht anwendbar. Die Zulässigkeit des Vollzugs beurteilt sich vielmehr nach den allgemeinen verfassungs- und völkerrechtlichen Best- immungen (Art. 25 Abs. 3 BV; Art. 3 des Übereinkommens vom 10. De- zember 1984 gegen Folter und andere grausame, unmenschliche oder er- niedrigende Behandlung oder Strafe [FoK, SR 0.105]; Art. 3 EMRK).</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in Burundi lässt ebenfalls nicht auf das Bestehen eines «real risk» einer völkerrechtswidri- gen Behandlung schliessen (vgl. etwa Urteil des BVGer E-1766/2023 vom 24. Mai 2023 E. 7.3.2 mit weiterem Verweis auf D-2162/2023 vom 25. April 2023 S. 6).</w:t>
      </w:r>
    </w:p>
    <w:p>
      <w:r>
        <w:rPr>
          <w:b/>
        </w:rPr>
        <w:t>E. 10.2.4</w:t>
      </w:r>
    </w:p>
    <w:p>
      <w:r>
        <w:t>Auch bilden Rückkehrende in Burundi keine eigentliche Risiko- gruppe (vgl. hierzu auch das Factsheet Burundi der Schweizerischen Flüchtlingshilfe vom Januar 2024). Es entspricht konstanter Praxis des BVGer, dass bei Rückkehrenden ohne politisches Profil – ein solches ist beim Beschwerdeführer nicht erkennbar – nicht von einer konkreten Gefahr</w:t>
      </w:r>
    </w:p>
    <w:p>
      <w:r>
        <w:t>E-422/2024 Seite 12 von Misshandlungen durch die Imbonerakure auszugehen ist (siehe z.B. Urteile des BVGer E-563/2024 vom 4. Februar 2025 E. 9.2.2 m.w.H., D-3865/2024 vom 14. November 2024 E. 7.7.1).</w:t>
      </w:r>
    </w:p>
    <w:p>
      <w:r>
        <w:rPr>
          <w:b/>
        </w:rPr>
        <w:t>E. 10.2.5</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10.3.2</w:t>
      </w:r>
    </w:p>
    <w:p>
      <w:r>
        <w:t>Die allgemeine Situation im Heimatstaat des Beschwerdeführers ist nicht von Krieg, Bürgerkrieg oder allgemeiner Gewalt geprägt. Trotz der heiklen Situation in einigen Provinzen Burundis, insbesondere in wirt- schaftlicher und sicherheitspolitischer Hinsicht (vgl. Urteil des BVGer E-1766/2023 vom 24. Mai 2023 E. 7.4.2), ist es dem Beschwerdeführer zuzumuten, in sein Heimatland zurückzukehren. Seinen Angaben zufolge ist er von 20(…) bis zu seiner Ausreise nach D._______ im Jahr 20(…) in Burundi zur Schule gegangen, hat in D._______ die Schule in der (…) Klasse wieder aufgenommen und im Jahr 20(…) abgeschlossen, bevor er ebendort von 20(…) bis 20(…) in einem (…) sowie als (…) in einem (…) tätig gewesen ist. Aufgrund seiner schulischen Bildung in Burundi und D._______ sowie seiner beruflichen Tätigkeiten in D._______ ist davon auszugehen, dass er diese Erfahrungen in Burundi nutzen und beruflich Fuss fassen kann. Ferner ist es ihm zuzumuten, gemeinsam mit seiner Schwester N._______, deren Beschwerde mit heutigem Datum abgewie- sen wurde, nach Burundi zurückzukehren und sich gegenseitig zu unter- stützen oder die Unterstützung von den in der Schweiz lebenden Verwand- ten in Anspruch zu nehmen. Aufgrund der Aktenlage kann davon ausge- gangen werden, dass ihre Reintegration in der Heimat gesichert ist.</w:t>
      </w:r>
    </w:p>
    <w:p>
      <w:r>
        <w:rPr>
          <w:b/>
        </w:rPr>
        <w:t>E. 10.3.3</w:t>
      </w:r>
    </w:p>
    <w:p>
      <w:r>
        <w:t>In medizinischer Hinsicht ist aus den vorinstanzlichen Akten ersicht- lich, dass am (…) vom P._______ Schmerzen unbestimmten Ursprungs nach Überlastung des Knies diagnostiziert wurden (vgl. SEM-act. 23/2). Am (…) wurde durch das M._______ (…). Am (…) M._______ (…). Am (…). Der Beschwerdeführer führte anlässlich seiner Anhörung vom 3. Juli 2023 aus, körperlich gehe es ihm gut, er werde aber von einem Psychiater beziehungsweise Psychologen betreut, da er viel erlebt habe und vor kur- zem ein Verwandter ermordet worden sei (vgl. SEM-act. 32/11 F5 f.).</w:t>
      </w:r>
    </w:p>
    <w:p>
      <w:r>
        <w:t>E-422/2024 Seite 13 Q._______ hielt in ihrem Arztbericht vom (…). Auf Beschwerdeebene wurde ein weiterer Arztbericht vom M._______ (…) eingereicht, in welchem festgehalten wurde, dass der Beschwerdeführer an (…). Aufgrund der vor- stehend aufgeführten Diagnosen ist nicht von einer aktuellen medizini- schen Notlage gemäss Art. 83 Abs. 4 AIG auszugehen. Mit Verweis auf die diesbezüglichen Erwägungen in der angefochtenen Verfügung und auf die Möglichkeit einer medizinischen Rückkehrhilfe erübrigen sich daher wei- tere Ausführungen (vgl. Art. 93 Abs. 1 Bst. d AsylG und Art. 75 der Asylver- ordnung 2 vom 11. August 1999 [AsylV 2, SR 142.312]). Der Wegwei- sungsvollzug ist als zumutbar zu qualifizieren.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Jedoch ist das Ge- such um Gewährung der unentgeltlichen Prozessführung gutzuheissen, nachdem sich die Beschwerde nicht als aussichtlos erwiesen hat und auf- grund der aktuellen Aktenlage von der Bedürftigkeit des Beschwerdefüh- rers auszugehen ist. Demzufolge sind keine Verfahrenskosten zu erheben (vgl. Art. 65 Abs. 1 VwVG).</w:t>
      </w:r>
    </w:p>
    <w:p>
      <w:r>
        <w:rPr>
          <w:b/>
        </w:rPr>
        <w:t>E. 12.2</w:t>
      </w:r>
    </w:p>
    <w:p>
      <w:r>
        <w:t>Der Antrag auf amtliche Rechtsverbeiständung ist ebenfalls gutzu- heissen und MLaw Alfred Ngoyi Wa Mwanza als amtlicher Rechtsbeistand beizuordnen. Das Bundesverwaltungsgericht geht bei amtlicher Vertretung in der Regel von einem Stundenansatz zwischen Fr. 100.– bis Fr. 150.– für nichtanwaltliche Vertreterinnen und Vertreter aus (vgl. Art. 12 des</w:t>
      </w:r>
    </w:p>
    <w:p>
      <w:r>
        <w:t>E-422/2024 Seite 14 Reglements vom 21. Februar 2008 über die Kosten und Entschädigungen vor dem Bundesverwaltungsgericht [VGKE, SR 173.320.2] i.V.m. Art. 10 Abs. 2 VGKE), wobei nur der notwendige Aufwand zu entschädigen ist (vgl. Art. 8 Abs. 2 VGKE). Es wurde keine Kostennote zu den Akten gereicht, weshalb die notwendigen Parteikosten aufgrund der Akten zu bestimmen sind (Art. 14 Abs. 2 in fine VGKE). Das Honorar für die amtliche Rechtsver- beiständung wird unter Berücksichtigung der massgeblichen Bemessungs- faktoren demnach von Amtes wegen auf insgesamt Fr. 1’050.– (inkl. Aus- lagen) festgelegt. (Dispositiv nächste Seite)</w:t>
      </w:r>
    </w:p>
    <w:p>
      <w:r>
        <w:t>E-422/2024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