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E-4222/2012 vom 21. August 2012</w:t>
      </w:r>
    </w:p>
    <w:p>
      <w:r>
        <w:t>Bundesverwaltungsgericht, 2012-08-21, DE</w:t>
      </w:r>
    </w:p>
    <w:p>
      <w:r>
        <w:rPr>
          <w:b/>
        </w:rPr>
        <w:t xml:space="preserve">Quelle: </w:t>
      </w:r>
      <w:r>
        <w:t>https://mcp.opencaselaw.ch/entscheid/bvger_E-4222_2012</w:t>
      </w:r>
    </w:p>
    <w:p>
      <w:r>
        <w:t>FR: TAF E-4222/2012 du 21 août 2012</w:t>
      </w:r>
    </w:p>
    <w:p>
      <w:r>
        <w:t>IT: TAF E-4222/2012 del 21 agosto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 Die Zuständigkeit des Bundesverwaltungsgerichts für Beschwerden gegen das Nichteintreten auf Wiedererwägungsgesuche beziehungsweise gegen die Ablehnung von Wiedererwägungsgesuchen ergibt sich aus dem Umstand, dass nach Lehre und Praxis Wiedererwägungsentscheide grundsätzlich wie die ursprüngliche Verfügung auf dem ordentlichen Rechtsmittelweg weitergezogen werden können (vgl. BGE 113 Ia 146 f.; VPB 1985 Nr. 24; Ursina Beerli-Bonorand, Die ausserordentlichen Rechtsmittel in der Verwaltungsrechtspflege des Bundes und der Kantone, Zürich 1985, S. 174 f.).</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 vorbehältlich der in E. 4 unten zu machenden Einschränkungen - einzutreten.</w:t>
      </w:r>
    </w:p>
    <w:p>
      <w:r>
        <w:rPr>
          <w:b/>
        </w:rPr>
        <w:t>E. 1.3</w:t>
      </w:r>
    </w:p>
    <w:p>
      <w:r>
        <w:t>Mit vorliegendem Direktentscheid in der Hauptsache wird das Gesuch um Herstellung der aufschiebenden Wirkung hinfällig.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Anfechtungsgegenstand ist vorliegend die Verfügung vom 18. Juli 2012 betreffend Nichteintreten auf das Wiedererwägungsgesuch vom 26. Juni 2012. Auf den Beschwerdeantrag Ziffer 1, wonach die Verfügung vom 15. Dezember 2011 in Wiedererwägung zu ziehen sei, ist daher nicht einzutreten. Der Antrag ist jedoch offensichtlich implizit dahingehend zu interpretieren, dass die Aufhebung der Verfügung vom 18. Juli 2012 begehrt wird. Im Weiteren ist festzustellen, dass das von einer professionellen und in Asyl- und Wiedererwägungsverfahren erfahrenen Rechtsvertreterin verfasste Wiedererwägungsgesuch vom 26. Juni 2012 den materiellen Prozessgegenstand unmissverständlich auf die Feststellung der Unzumutbarkeit des Wegweisungsvollzuges und die einzig darauf basierte Anordnung der vorläufigen Aufnahme beschränkte (vgl. dort Antrag Ziff. 3). Der solchermassen von den Beschwerdeführenden selber definierte Prozessgegenstand lässt sich daher auf Beschwerdestufe nicht erweitern (vgl. hierzu bereits die entsprechenden Erwägungen im Urteil des Bundesverwaltungsgerichts vom 23. Dezember 2011 S. 5). Auf den Beschwerdeantrag Ziff. 2 betreffend Feststellung der Unzulässigkeit des Wegweisungsvollzuges, der im Übrigen nicht begründet wird, ist daher ebenfalls nicht einzutreten. Im Folgenden ist somit zu prüfen, ob das BFM zurecht auf den Antrag betreffend wiedererwägungsweise Feststellung der Unzumutbarkeit des Wegweisungsvollzuges nicht eingetreten ist.</w:t>
      </w:r>
    </w:p>
    <w:p>
      <w:r>
        <w:rPr>
          <w:b/>
        </w:rPr>
        <w:t>E. 5</w:t>
      </w:r>
    </w:p>
    <w:p>
      <w:r>
        <w:t>Die Wiedererwägung im Verwaltungsverfahren ist ein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6.1</w:t>
      </w:r>
    </w:p>
    <w:p>
      <w:r>
        <w:t>Soweit die Beschwerdeführenden im vorliegenden Wiederwägungsverfahren ausdrücklich oder sinngemäss Kritik an der im ordentlichen Asylverfahren ergangenen erst- und zweitinstanzlichen Entscheidungen üben, ist festzuhalten, dass die Wiedererwägung nicht aus einem Grund verlangt werden kann, der schon im ordentlichen Verfahren geltend gemacht wurde oder hätte geltend gemacht werden können und sollen. Zudem dürfen ausserordentliche Rechtsmittel und Rechtsbehelfe wie insbesondere ein Wiedererwägungsgesuch nicht dazu dienen, bisherige rechtskräftige Entscheidungen zu untergraben oder prozessuale Versäumnisse nachzuholen, ohne die von Gesetz und Praxis gestellten Anforderungen zu beachten. Das vorinstanzliche Nichteintreten auf solche Wiedererwägungsgründe ist daher folgerichtig.</w:t>
      </w:r>
    </w:p>
    <w:p>
      <w:r>
        <w:rPr>
          <w:b/>
        </w:rPr>
        <w:t>E. 6.2</w:t>
      </w:r>
    </w:p>
    <w:p>
      <w:r>
        <w:t>Soweit die Beschwerdeführenden Wiedererwägungsgründe mit einem Entstehungszeitpunkt nach Abschluss des ordentlichen Asylverfahrens geltend machen (insb. Gewalt gegen Roma in einem Belgrader Vorort im April 2012 und Präsidentenwahl im Mai 2012) sind zwar die chronologischen Eintretensvoraussetzungen erfüllt, nicht aber die sachlichen. Wie oben (E. 5) erwähnt,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Die Behörde hat auf ein Wiedererwägungsgesuch hin zu prüfen, ob die Voraussetzungen, unter denen sie zum Eintreten auf ein Wiedererwägungsgesuch verpflichtet wäre, erfüllt sind. Dabei genügt es zwar für die Zulässigkeit des Wiedererwägungsgesuchs, dass Umstände, die einen verfassungsmässigen Anspruch auf Wiedererwägung begründen würden, substanziiert behauptet werden. Sind dem Gesuch jedoch nicht genügend substanziierte Wiedererwägungsgründe zu entnehmen, so ist die Verwaltungsbehörde nicht gehalten, auf das Gesuch einzutreten, ja es überhaupt formell anhand zu nehmen (vgl. EMARK 2003 Nr. 7 E. 4a). Mit den geltend gemachten und unbestrittenermassen neuen Ereignissen wird aber offensichtlich, und wie vom BFM zurecht erkannt, nicht eine eigentliche Veränderung des die Beschwerdeführenden selber betreffenden und für die Zumutbarkeitsfrage nach Art. 83 Abs. 4 des Bundesgesetzes vom 16. Dezember 2005 über die Ausländerinnen und Ausländer (AuG, SR 142.20) rechtserheblichen Sachverhalts und schon gar nicht eine wesentliche Veränderung dieser Sachlage nachvollziehbar geltend gemacht. Es kann hierzu vollumfänglich auf die Erwägungen der Vorinstanz verwiesen werden. Die Beschwerdeführenden lassen denn auch auf Wiedererwägungsstufe jegliche Bezugnahme der Ereignisse auf ihre persönliche Situation vermissen. Ergänzend ist festzuhalten, dass bloss hypothetische und unfundierte Mutmassungen über mögliche künftige Entwicklungen, die allenfalls dereinst eine wesentliche Veränderung des rechtserheblichen Sachverhalts bewirken könnten (beispielsweise mögliche künftige Änderungen in der Besetzung der Ministerposten einer Regierung), klarerweise zur Begründung der Eintretenspflicht nicht genügen.</w:t>
      </w:r>
    </w:p>
    <w:p>
      <w:r>
        <w:rPr>
          <w:b/>
        </w:rPr>
        <w:t>E. 6.3</w:t>
      </w:r>
    </w:p>
    <w:p>
      <w:r>
        <w:t>Zusammenfassend ist festzuhalten, dass die Beschwerdeführenden keine Gründe vorgebracht haben, die das BFM zum materiellen Eintreten auf das Wiedererwägungsgesuch verpflichtet hätten.</w:t>
      </w:r>
    </w:p>
    <w:p>
      <w:r>
        <w:rPr>
          <w:b/>
        </w:rPr>
        <w:t>E. 7</w:t>
      </w:r>
    </w:p>
    <w:p>
      <w:r>
        <w:t>Aus diesen Erwägungen ergibt sich, dass die angefochtene Verfügung Bundesrecht nicht verletzt, den rechtserheblichen Sachverhalt richtig und vollständig feststellt und angemessen ist (Art. 106 AsylG). Es erübrigt sich, auf die gestellten Anträge und deren Begründung näher einzugehen. Die Beschwerde ist daher abzuweisen, soweit darauf einzutreten ist.</w:t>
      </w:r>
    </w:p>
    <w:p>
      <w:r>
        <w:rPr>
          <w:b/>
        </w:rPr>
        <w:t>E. 8</w:t>
      </w:r>
    </w:p>
    <w:p>
      <w:r>
        <w:t>Bei diesem Ausgang des Verfahrens sind die Kosten den Beschwerde­führenden aufzuerlegen (Art. 63 Abs. 1 VwVG) und auf insgesamt Fr. 1'200.-- festzusetzen (Art. 1 - 3 des Reglements vom 21. Februar 2008 über die Kosten und Entschädigungen vor dem Bundesverwaltungsgericht [VGKE, SR 173.320.2]). Das Gesuch um Gewährung der unentgeltlichen Rechtspflege nach Art. 65 Abs. 1 VwVG ist bereits angesichts der aus den Erwägungen hervorgehenden Aussichtslosigkeit der Beschwerdebegehren abzuweisen, unbesehen des Umstandes, dass eine allfällige Bedürftigkeit der Beschwerdeführenden von diesen weder behauptet noch begründet noch belegt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