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E-4217/2024 vom 20. September 2024</w:t>
      </w:r>
    </w:p>
    <w:p>
      <w:r>
        <w:t>Bundesverwaltungsgericht, 2024-09-20, DE</w:t>
      </w:r>
    </w:p>
    <w:p>
      <w:r>
        <w:rPr>
          <w:b/>
        </w:rPr>
        <w:t xml:space="preserve">Quelle: </w:t>
      </w:r>
      <w:r>
        <w:t>https://mcp.opencaselaw.ch/entscheid/bvger_E-4217_2024</w:t>
      </w:r>
    </w:p>
    <w:p>
      <w:r>
        <w:t>FR: TAF E-4217/2024 du 20 septembre 2024</w:t>
      </w:r>
    </w:p>
    <w:p>
      <w:r>
        <w:t>IT: TAF E-4217/2024 del 20 settembre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 Auf die Beschwerde ist einzutreten.</w:t>
      </w:r>
    </w:p>
    <w:p>
      <w:r>
        <w:rPr>
          <w:b/>
        </w:rPr>
        <w:t>E. 1.4</w:t>
      </w:r>
    </w:p>
    <w:p>
      <w:r>
        <w:t>Die Kognition des Bundesverwaltungsgerichts und die zulässigen Rü- gen richten sich, soweit die Verweigerung vorübergehenden Schutzes be- treffend, nach Art. 106 Abs. 1 AsylG (i.V.m. Art. 72 AsylG), im Bereich des Ausländerrechts nach Art. 49 VwVG (vgl. BVGE 2014/26 E. 5).</w:t>
      </w:r>
    </w:p>
    <w:p>
      <w:r>
        <w:rPr>
          <w:b/>
        </w:rPr>
        <w:t>E. 2</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3.1</w:t>
      </w:r>
    </w:p>
    <w:p>
      <w:r>
        <w:t>Gestützt auf Art. 4 AsylG kann die Schweiz Schutzbedürftigen für die Dauer einer schweren allgemeinen Gefährdung, insbesondere während</w:t>
      </w:r>
    </w:p>
    <w:p>
      <w:r>
        <w:t>E-4217/2024 Seite 5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3.3</w:t>
      </w:r>
    </w:p>
    <w:p>
      <w:r>
        <w:t>Das SEM führte zur Begründung der Verfügung im Wesentlichen aus, die Beschwerdeführenden gehörten nicht zu den vom Bundesrat definier- ten Gruppen schutzberechtigter Personen, weil sie bereits seit Januar 2022 in Israel gelebt hätten und damit schon vor dem 24. Februar 2022 nicht mehr in der Ukraine wohnhaft gewesen seien.</w:t>
      </w:r>
    </w:p>
    <w:p>
      <w:r>
        <w:rPr>
          <w:b/>
        </w:rPr>
        <w:t>E. 3.4</w:t>
      </w:r>
    </w:p>
    <w:p>
      <w:r>
        <w:t>In der Rechtsmitteleingabe machen die Beschwerdeführenden geltend, es wäre für sie derzeit unmöglich, die Schweiz zu verlassen, da (…) weder die israelische Staatsbürgerschaft noch ein gültiges Visum besitze. Eine Rückkehr würde sie alle in Gefahr und in erhebliche Schwierigkeiten brin- gen. Gerüchte über einen Krieg in der Ukraine hätten sie veranlasst, ihr Heimatland zu verlassen und nach Israel zu ziehen. Dort seien sie antise- mitisch behandelt worden und hätten – nach Kriegsausbruch – aufgrund</w:t>
      </w:r>
    </w:p>
    <w:p>
      <w:r>
        <w:t>E-4217/2024 Seite 6 der regelmässigen Angriffe durch Drohnen viel Zeit in Schutzräumen ver- bringen müssen und daher die ukrainische Botschaft in Israel um eine Eva- kuierung ersucht. Sie seien der Ansicht, dass sie die Anforderungen ge- mäss der Allgemeinverfügung des Bundesrates erfüllten.</w:t>
      </w:r>
    </w:p>
    <w:p>
      <w:r>
        <w:rPr>
          <w:b/>
        </w:rPr>
        <w:t>E. 4</w:t>
      </w:r>
    </w:p>
    <w:p>
      <w:r>
        <w:t>Vorliegend bestreiten die Beschwerdeführenden nicht, seit Ende Januar 2022 und somit im Zeitpunkt des Kriegsausbruchs in Israel gelebt und dort die Staatsbürgerschaft erworben zu haben (vgl. Beschwerde S. 2). Es ist daher mit dem SEM festzustellen, dass sie am 24. Februar 2022 nicht mehr in der Ukraine wohnhaft waren. Mit der expliziten Nennung eines Stichda- tums in der Allgemeinverfügung vom 11. März 2022 hat der Bundesrat zum Ausdruck gebracht, dass ukrainische Staatsangehörige, welche zum da- maligen Zeitpunkt nicht in der Ukraine gelebt haben, vom Anwendungsbe- reich des vorübergehenden Schutzes auszuschliessen sind (vgl. Urteil des BVGer E-4025/2023 vom 14. August 2023 E. 7.1 m.H.). Folglich fallen die Beschwerdeführenden nicht unter die Personenkategorie gemäss Ziff. 1 Bst. a der Allgemeinverfügung vom 11. März 2022 und eine Anwendung der Bst. b und c fällt – nachdem sie (auch) ukrainische Staatsangehörige sind – offensichtlich ebenfalls ausser Betracht. Entgegen der Ansicht der Beschwerdeführenden ist unerheblich, dass (…) nur über die ukrainische, aber nicht über die israelische Staatsangehörigkeit verfügt.</w:t>
      </w:r>
    </w:p>
    <w:p>
      <w:r>
        <w:rPr>
          <w:b/>
        </w:rPr>
        <w:t>E. 5.1</w:t>
      </w:r>
    </w:p>
    <w:p>
      <w:r>
        <w:t>Lehnt das SEM ein Gesuch um Gewährung des vorübergehenden Schutzes ab, verfügt es in der Regel die Wegweisung aus der Schweiz und ordnet den Vollzug an (vgl. Art. 69 Abs. 4 AsylG).</w:t>
      </w:r>
    </w:p>
    <w:p>
      <w:r>
        <w:rPr>
          <w:b/>
        </w:rPr>
        <w:t>E. 5.2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(vgl. Art. 69 Abs. 4 AsylG; Art. 83 Abs. 1 AIG [SR 142.20]).</w:t>
      </w:r>
    </w:p>
    <w:p>
      <w:r>
        <w:t>E-4217/2024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Das SEM führt hierzu aus, die Beschwerdeführenden hätten in der Schweiz kein Asylgesuch gestellt und es gebe keine Hinweise auf eine Ver- letzung des flüchtlingsrechtlichen Refoulement-Verbots sowie eine in Israel drohende menschenrechtswidrige Behandlung. Weder die in Israel herr- schende politische Situation noch die momentanen gewaltsamen Ausei- nandersetzungen, die sich auf bestimmte Regionen Israels konzentrierten, stellten eine akute Gefahr für die israelische Zivilbevölkerung dar, da diese vom israelischen Staat gut beschützt werde und ausreichend Infrastruktur vorhanden sei, um sich in Notsituationen in Sicherheit zu bringen. Ausser- dem seien keine Gründe ersichtlich, wonach die Beschwerdeführenden im betreffenden Staat aufgrund von individuellen Umständen sozialer, wirt- schaftlicher oder gesundheitlicher Art in eine existenzielle Notlage geraten würden. Es spreche nichts dagegen, dass sie sich bei einer Rückkehr wie- der ein Leben in Israel aufbauen könnten. Zudem stünden ihnen als israe- lische Staatsangehörige bei Bedarf auch die sozialen Einrichtungen unein- geschränkt zur Verfügung. Schliesslich sprächen auch soziale und wirt- schaftliche Schwierigkeiten, von welchen die vor Ort ansässige Bevölke- rung im Allgemeineren betroffen sei, nicht gegen den Wegweisungsvollzug. Dieser sei zulässig, zumutbar und möglich.</w:t>
      </w:r>
    </w:p>
    <w:p>
      <w:r>
        <w:rPr>
          <w:b/>
        </w:rPr>
        <w:t>E. 6.2.2</w:t>
      </w:r>
    </w:p>
    <w:p>
      <w:r>
        <w:t>Die Beschwerdeführenden entgegnen, die Situation in D._______ sei nach wie vor gefährlich und (…) durch das Erlebte traumatisiert. Eine Rück- kehr wäre sehr schädlich für (…) körperliches und psychisches Wohlbefin- den. In Israel hätten sie überdies keine soziale Absicherung und keinen Anspruch auf Krankenversicherung mehr. Sie hätten keine Arbeit, würden die Sprache nicht fliessend sprechen und hätten keine Ersparnisse. Aus- serdem seien sie in der Schweiz auf dem Weg der Integration.</w:t>
      </w:r>
    </w:p>
    <w:p>
      <w:r>
        <w:rPr>
          <w:b/>
        </w:rPr>
        <w:t>E. 6.3.1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Dezem- ber 1984 gegen Folter und andere grausame, unmenschliche oder</w:t>
      </w:r>
    </w:p>
    <w:p>
      <w:r>
        <w:t>E-4217/2024 Seite 8 erniedrigende Behandlung oder Strafe [FoK, SR 0.105] und Art. 3 der Kon- vention vom 4. November 1950 zum Schutze der Menschenrechte und Grundfreiheiten [EMRK, SR 0.101]) einer Weiterreise der Ausländerin oder des Ausländers in den Heimat-, Herkunfts- oder einen Drittstaat entgegen- stehen (Art. 83 Abs. 3 AIG).</w:t>
      </w:r>
    </w:p>
    <w:p>
      <w:r>
        <w:rPr>
          <w:b/>
        </w:rPr>
        <w:t>E. 6.3.2</w:t>
      </w:r>
    </w:p>
    <w:p>
      <w:r>
        <w:t>Die Beschwerdeführenden haben in der Schweiz kein Asylgesuch gestellt, weshalb das flüchtlingsrechtliche Refoulement-Verbot von Vorn- herein nicht zum Tragen kommt. Anhaltspunkte für eine ihnen in Israel dro- hende menschenrechtswidrige Behandlung sind – einhergehend mit dem SEM – keine ersichtlich.</w:t>
      </w:r>
    </w:p>
    <w:p>
      <w:r>
        <w:rPr>
          <w:b/>
        </w:rPr>
        <w:t>E. 6.3.3</w:t>
      </w:r>
    </w:p>
    <w:p>
      <w:r>
        <w:t>Der Vollzug der Wegweisung erweist sich daher als zulässig.</w:t>
      </w:r>
    </w:p>
    <w:p>
      <w:r>
        <w:rPr>
          <w:b/>
        </w:rPr>
        <w:t>E. 6.4.1</w:t>
      </w:r>
    </w:p>
    <w:p>
      <w:r>
        <w:t>Gemäss Art. 83 Abs. 4 AIG kann der Vollzug für Ausländerinnen und Ausländer unzumutbar sein, wenn sie im Heimat-, Herkunfts- oder Dritt- 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6.4.2</w:t>
      </w:r>
    </w:p>
    <w:p>
      <w:r>
        <w:t>In Übereinstimmung mit dem SEM ist der Wegweisungsvollzug nach Israel auch als zumutbar zu erachten. Mit Blick auf die Vorbringen in der Beschwerdeschrift ist zwar einzuräumen, dass die allgemeine Lage in Israel nicht zuletzt seit dem Ausbruch des Krie- ges im Gaza-Streifen am 7. Oktober 2023 bekanntermassen mit Proble- men verbunden ist, welche der Bevölkerung – in regional unterschiedli- chem Ausmass – die Befolgung von Sicherheitsmassnahmen auferlegen. Dies steht aber einer Rückkehr in ihren Heimatstaat nicht entgegen. Der Vorinstanz ist in der Einschätzung zuzustimmen, wonach der israelische Staat auch unter den heutigen Bedingungen grundsätzlich in der Lage ist, die Bevölkerung zu schützen. Ausserdem ist derzeit trotz der angespann- ten politischen Situation im Nahen Osten nicht zu erwarten, es stehe eine entsprechende, unter dem Aspekt von Art. 83 Abs. 4 AIG relevante Verän- derung der allgemeinen Lage in Israel unmittelbar bevor. Hinsichtlich der Lebensbedingungen der israelischen Bevölkerung bestehen in der derzei- tig verschärften Sicherheitslage ausserdem regionale Unterschiede, wobei der letzte Wohnort der Beschwerdeführenden, die Stadt D._______, in ei- ner der gefährdeten Grenzregionen liegt. Bei den Beschwerdeführenden</w:t>
      </w:r>
    </w:p>
    <w:p>
      <w:r>
        <w:t>E-4217/2024 Seite 9 handelt es sich aber um junge, gesunde und gebildete Menschen, denen es bereits (…) 2022 gelungen ist, sich in Israel ein neues Leben aufzu- bauen. Es spricht nichts dagegen, dass es dem Beschwerdeführer wieder gelingen sollte, eine Arbeitsstelle zu finden, um den Lebensunterhalt der Familie zu finanzieren. Schliesslich ist der Mietvertrag der Wohnung in D._______ ausgelaufen und (…) der Beschwerdeführenden wurde dort noch nicht eingeschult, womit sie nicht zwingend an diesen Ort zurückkeh- ren müssen. Es ist der Familie daher zumutbar, sich nach einer Rückkehr nach Israel in einer anderen Region des Landes niederzulassen. Dieser Umzug sollte im Übrigen auch die geltend gemachten antisemitischen Behelligungen ver- ringern, zumal sie sich nicht mehr in einer Grenzregion niederlassen müss- ten. Ausserdem stellt das SEM zu Recht fest, dass israelischen Staatsan- gehörigen bei Bedarf auch die dortigen Sozialwerke uneingeschränkt zur Verfügung stünden. Dass sie gemäss Schreiben des nationalen Versiche- rungsinstituts Israels vom 22. Juni 2024 aufgrund ihrer Ausreise aus Israel keinen Anspruch auf Renten der nationalen Versicherungsbehörde und Gesundheitsleistungen haben, vermag an dieser Einschätzung nichts zu ändern, zumal sie bei Wiederaufnahme ihres Wohnsitzes in Israel diese Ansprüche wieder erlangen sollten. Aus dem allgemeinen, nicht näher kon- kretisierten oder gar belegten Hinweis auf eine psychische Belastung (…) der Beschwerdeführenden aufgrund des in Israel Erlebten kann überdies offensichtlich nicht auf ein Vollzugshindernis aus medizinischen Gründen geschlossen werden. Die Beschwerdeschrift und die eingereichten Be- weismittel enthalten auch sonst nichts, was die zutreffenden Einschätzun- gen der Vorinstanz zu ändern vermöchte.</w:t>
      </w:r>
    </w:p>
    <w:p>
      <w:r>
        <w:rPr>
          <w:b/>
        </w:rPr>
        <w:t>E. 6.5.1</w:t>
      </w:r>
    </w:p>
    <w:p>
      <w:r>
        <w:t>Der Vollzug ist schliesslich nicht möglich, wenn die Ausländerin oder der Ausländer weder in den Heimat- oder in den Herkunftsstaat noch in einen Drittstaat ausreisen oder dorthin gebracht werden kann (Art. 83 Abs. 2 AIG).</w:t>
      </w:r>
    </w:p>
    <w:p>
      <w:r>
        <w:rPr>
          <w:b/>
        </w:rPr>
        <w:t>E. 6.5.2</w:t>
      </w:r>
    </w:p>
    <w:p>
      <w:r>
        <w:t>Da die Beschwerdeführenden im Besitze eines gültigen ukrainischen sowie israelischen Reisepasses sind, ist schliesslich auch von der Mög- lichkeit des Wegweisungsvollzugs auszugehen (Art. 83 Abs. 2 AIG). Die Tatsache, dass das Visum (…) der Beschwerdeführenden in der Zwischen- zeit abgelaufen ist, ändert daran nichts, zumal keine Gründe ersichtlich sind, weshalb dem Kind israelischer Staatsbürger die Einreise nicht ge- währt werden sollte. Entsprechend legen die Beschwerdeführenden selbst</w:t>
      </w:r>
    </w:p>
    <w:p>
      <w:r>
        <w:t>E-4217/2024 Seite 10 dar, dass sie in Israel wieder ein solches Visum ausstellen lassen könnten (vgl. E-Mail-Verkehr zwischen der Beschwerdeführerin und dem israeli- schen Konsulat in der Schweiz zwischen dem 14. und 20. Juni 2024). Es spricht somit nichts dagegen, dass die Beschwerdeführenden bei einer Rückkehr nach Israel erneut ein Visum für (…) beantragen können.</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8.1</w:t>
      </w:r>
    </w:p>
    <w:p>
      <w:r>
        <w:t>Angesichts des vorliegenden Entscheids in der Sache erweist sich der Antrag auf Verzicht auf Erhebung eines Kostenvorschusses als gegen- standslos.</w:t>
      </w:r>
    </w:p>
    <w:p>
      <w:r>
        <w:rPr>
          <w:b/>
        </w:rPr>
        <w:t>E. 8.2</w:t>
      </w:r>
    </w:p>
    <w:p>
      <w:r>
        <w:t>Die mit Eingabe vom 29. Juli 2024 gestellten Gesuche um Gewährung der unentgeltlichen Prozessführung und der unentgeltlichen Rechtsverbei- ständung sind abzuweisen, da die hauptsächlichen Begehren – wie sich aus den angestellten Erwägungen ergibt – als aussichtslos im Sinne von Art. 65 Abs. 1 VwVG zu bezeichnen sind.</w:t>
      </w:r>
    </w:p>
    <w:p>
      <w:r>
        <w:rPr>
          <w:b/>
        </w:rPr>
        <w:t>E. 8.3</w:t>
      </w:r>
    </w:p>
    <w:p>
      <w:r>
        <w:t>Die Verfahrenskosten sind den Beschwerdeführenden aufzuerlegen (Art. 63 Abs. 1 VwVG) und auf insgesamt Fr. 750.– festzusetzen (Art. 1–3 des Reglements vom 21. Februar 2008 über die Kosten und Entschädigun- gen vor dem Bundesverwaltungsgericht [VGKE, SR 173.320.2]).</w:t>
      </w:r>
    </w:p>
    <w:p>
      <w:r>
        <w:t>(Dispositiv nächste Seite)</w:t>
      </w:r>
    </w:p>
    <w:p>
      <w:r>
        <w:t>E-4217/2024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