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E-4214/2015 vom 15. Juli 2015</w:t>
      </w:r>
    </w:p>
    <w:p>
      <w:r>
        <w:t>Bundesverwaltungsgericht, 2015-07-15, DE</w:t>
      </w:r>
    </w:p>
    <w:p>
      <w:r>
        <w:rPr>
          <w:b/>
        </w:rPr>
        <w:t xml:space="preserve">Quelle: </w:t>
      </w:r>
      <w:r>
        <w:t>https://mcp.opencaselaw.ch/entscheid/bvger_E-4214_2015</w:t>
      </w:r>
    </w:p>
    <w:p>
      <w:r>
        <w:t>FR: TAF E-4214/2015 du 15 juillet 2015</w:t>
      </w:r>
    </w:p>
    <w:p>
      <w:r>
        <w:t>IT: TAF E-4214/2015 del 15 luglio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Beschwerdeführung legitimiert (Art. 48 VwVG). Auf die fristgerecht eingereichte Beschwerde (Art. 108 Abs. 1 AsylG) ist einzutreten.</w:t>
      </w:r>
    </w:p>
    <w:p>
      <w:r>
        <w:rPr>
          <w:b/>
        </w:rPr>
        <w:t>E. 1.2</w:t>
      </w:r>
    </w:p>
    <w:p>
      <w:r>
        <w:t>Die Beschwerde ist in englischer Sprache und damit nicht in einer Amtssprache des Bundes (vgl. Art. 105 AsylG i.V.m. Art. 33a VwVG und Art. 70 Abs. 1 BV) abgefasst. Die Eingabe weist keine Unklarheiten auf, weshalb praxisgemäss auf die Einholung einer Übersetzung in eine Amtssprache zu verzichten ist (vgl. statt vieler: Urteil des BVGer E-5509/2011 vom 22. November 2011).</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(aArt. 52 Abs. 2 AsylG).</w:t>
      </w:r>
    </w:p>
    <w:p>
      <w:r>
        <w:rPr>
          <w:b/>
        </w:rPr>
        <w:t>E. 5.1</w:t>
      </w:r>
    </w:p>
    <w:p>
      <w:r>
        <w:t>Die Vorinstanz gelangt in der angefochtenen Verfügung zum Schluss, dass aufgrund des Sachverhaltes keine unmittelbare Gefährdung vorliege, die die Einreise der Beschwerdeführerinnen in die Schweiz als notwendig erscheinen lasse. Weder in der Gesuchseingabe noch in der Befragung würden die Beschwerdeführerinnen geltend machen, sie seien in ihrer Heimat von den Behörden oder Drittpersonen verfolgt worden. Die gesundheitlichen Beschwerden der Beschwerdeführerin 2 würden sich als asylrechtlich unerheblich erweisen. Obwohl davon ausgegangen werden müsse, dass die Beschwerdeführerinnen ihr Heimatland illegal verlassen hätten, könne die Einreise nicht bewilligt werden, da sie aufgrund subjektiver Nachfluchtgründe vom Asyl auszuschliessen seien. Der Vollständigkeit halber sei festzustellen, dass sich registrierte Flüchtlinge in Khartoum bei gesundheitlichen Problemen an den Arzt des COR Refugee Counceling Service wenden können, der medizinische Abklärungen vornehme und besondere Fälle an einen Spital weiterleite. Das Spital verrechne Personen, die von UNHCR überwiesen worden seien, keine Kosten. Schliesslich sei festzustellen, dass die Beschwerdeführerinnen über keine besondere Beziehung zur Schweiz verfügen würden.</w:t>
      </w:r>
    </w:p>
    <w:p>
      <w:r>
        <w:rPr>
          <w:b/>
        </w:rPr>
        <w:t>E. 5.2</w:t>
      </w:r>
    </w:p>
    <w:p>
      <w:r>
        <w:t>Die Beweiswürdigung der Vorinstanz ist nicht zu beanstanden. Die Beschwerdeführerinnen setzen sich damit nicht ansatzweise auseinander. Mit dem blossen Wiederholen des aktenkundigen Sachverhalts zeigen sie nicht auf, inwiefern die angefochtene Verfügung Bundesrecht verletzt oder den Sachverhalt rechtsfehlerhaft feststellt. Die Schlussfolgerung der Vorinstanz, es sei von einer fehlenden Verfolgungssituation der Beschwerdeführerinnen im Zeitpunkt der Ausreise auszugehen, ist nicht zu beanstanden. Betreffend eine allfällige illegale Ausreise (Republikflucht), die einen subjektiven Nachfluchtgrund setzten würde, ist festzuhalten, dass eine solche gemäss Praxis des Bundesverwaltungsgerichts die Bewilligung zur Einreise von vornherein ausschliessen würde (BGVE 2012/26 E. 7). Im Übrigen benötigen die Beschwerdeführerinnen den zusätzlichen Schutz der Schweiz ohnehin nicht, weil es ihnen zuzumuten ist, im Sudan zu verbleiben. Dort halten sie sich seit drei Jahren auf und sind offenbar ohne die Hilfe des UNHCR über die Runden gekommen. Für diesen Zeitraum haben sie keine Benachteiligungen seitens der sudanesischen Behörden im Sinne des Asylgesetzes angeführt. Weiter ist es ihnen bei Bedarf jederzeit zumutbar und möglich, sich in einem Lager des UNHCR als Flüchtlinge registrieren zu lassen. Dort wird ihnen Schutz vor Verfolgung gewährt, und sie erhalten die notwendige Grundversorgung. Schliesslich lebt im Sudan eine grosse eritreische Diaspora, die für in Not geratene Landsleute bereitsteht und weitgehend Unterstützung bietet.</w:t>
      </w:r>
    </w:p>
    <w:p>
      <w:r>
        <w:rPr>
          <w:b/>
        </w:rPr>
        <w:t>E. 5.3</w:t>
      </w:r>
    </w:p>
    <w:p>
      <w:r>
        <w:t>Zusammenfassend ist festzustellen, dass sich die Beschwerdeführerinnen nicht auf den Schutz der Schweiz berufen können und ihnen ein weiterer Verbleib im Sudan zumutbar ist. Die Vorinstanz hat ihnen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Beschwerdeführerinnen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