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E-4200/2023 vom 21. Juli 2023</w:t>
      </w:r>
    </w:p>
    <w:p>
      <w:r>
        <w:t>Bundesverwaltungsgericht, 2023-07-21, DE</w:t>
      </w:r>
    </w:p>
    <w:p>
      <w:r>
        <w:rPr>
          <w:b/>
        </w:rPr>
        <w:t xml:space="preserve">Quelle: </w:t>
      </w:r>
      <w:r>
        <w:t>https://mcp.opencaselaw.ch/entscheid/bvger_E-4200_2023_d20230721</w:t>
      </w:r>
    </w:p>
    <w:p>
      <w:r>
        <w:t>FR: TAF E-4200/2023 du 21 juillet 2023</w:t>
      </w:r>
    </w:p>
    <w:p>
      <w:r>
        <w:t>IT: TAF E-4200/2023 del 21 luglio 2023</w:t>
      </w:r>
    </w:p>
    <w:p>
      <w:pPr>
        <w:pStyle w:val="Heading2"/>
      </w:pPr>
      <w:r>
        <w:t>Regeste</w:t>
      </w:r>
    </w:p>
    <w:p>
      <w:r>
        <w:t>Nichteintreten auf Asylgesuch und Wegweisung (kein Asylgesuch - Art. 31a Abs. 3 AsylG) | Nichteintreten auf Asylgesuch und Wegweisung (kein Asylgesuch - Art. 31a Abs. 3 AsylG); Verfügung des SEM vom 21.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 unter Vorbehalt der nachfolgenden Erwägungen – einzutre- ten.</w:t>
      </w:r>
    </w:p>
    <w:p>
      <w:r>
        <w:t>E-4200/2023 Seite 4</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 den- jenigen der Söhne (E-4199/2023 und E-4201/2023) der Beschwerdeführe- rin koordiniert und vom gleichen Spruchkörper behandelt.</w:t>
      </w:r>
    </w:p>
    <w:p>
      <w:r>
        <w:t>E-4200/2023 Seite 5</w:t>
      </w:r>
    </w:p>
    <w:p>
      <w:r>
        <w:rPr>
          <w:b/>
        </w:rPr>
        <w:t>E. 6</w:t>
      </w:r>
    </w:p>
    <w:p>
      <w:r>
        <w:t>Die Beschwerdeführerin rügt in formeller Hinsicht eine Verletzung des rechtlichen Gehörs, weil sich die Vorinstanz zu wenig konkret mit der Krankheit und den effektiven Behandlungsmöglichkeiten sowie den finan- ziellen Folgen auseinandergesetzt habe. Diese hätte die Kosten der Inan- spruchnahme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5).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Die Beschwerdeführerin gelangte ausschliesslich wegen ihren und den medizinischen Gründen ihres ältesten Sohns sowie aufgrund der damit zu- sammenhängenden ökonomischen Überlegungen in die Schweiz. Auch in der Beschwerdeschrift wird dies wiederholt und es sind aus den Akten keine anderen Gründe ersichtlich. Die Vorinstanz ist demnach in Anwen- dung von Art. 31a Abs. 3 AsylG zu Recht auf das Asylgesuch der Be- 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w:t>
      </w:r>
    </w:p>
    <w:p>
      <w:r>
        <w:t>E-4200/2023 Seite 6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der Be- schwerdeführerin (siehe nachfolgende Erwägungen) lassen den Wegwei- 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E-4200/2023 Seite 7 festgestellt, ist – unter Vorbehalt von Art. 83 Abs. 7 AIG – die vorläufige Aufnahme zu gewähren.</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Die Beschwerdeführerin macht in ihrer Rechtsmitteleingabe geltend, ihre diversen medizinischen Beschwerden seien in ihrem Heimatland nicht wirksam behandelt worden. Die Vorinstanz gehe dabei fälschlicherweise davon aus, dass ihre Krankheiten dort behandelt werden könnten, was fak- tisch nicht zutreffe, weil ihr für eine Reihe von medizinischen Massnahmen, die nicht durch die Gesundheitsvorsorge gedeckt seien, die entsprechen- den finanziellen Mittel fehlen würden. Eine Rückkehr hätte demnach eine für sie lebensbedrohliche Situation zur Folge.</w:t>
      </w:r>
    </w:p>
    <w:p>
      <w:r>
        <w:rPr>
          <w:b/>
        </w:rPr>
        <w:t>E. 9.3.5</w:t>
      </w:r>
    </w:p>
    <w:p>
      <w:r>
        <w:t>In Bezug auf den Gesundheitszustand der Beschwerdeführerin kann vollumfänglich auf die zu bestätigenden Erwägungen in der vorinstanzli- chen Verfügung verwiesen werden, die sich auf die im Verfahren vorliegen- den medizinischen Berichte beziehen. Die Beschwerdeführerin hält dem auf Beschwerdeebene hinsichtlich dieses Krankheitsbildes weder etwas entgegen noch reicht sie weitere Unterlagen ein.</w:t>
      </w:r>
    </w:p>
    <w:p>
      <w:r>
        <w:rPr>
          <w:b/>
        </w:rPr>
        <w:t>E. 9.3.6</w:t>
      </w:r>
    </w:p>
    <w:p>
      <w:r>
        <w:t>Soweit die Beschwerdeführerin vorliegend geltend macht, sie habe keinen Zugang zur angemessenen medizinischen Behandlung in Geor- gien, so ist auch diesbezüglich vorab auf die zutreffenden Erwägungen der Vorinstanz in der angefochtenen Verfügung zu verweisen. Darüber hinaus ist der Auffassung der Vorinstanz beizupflichten, dass die Behandlung der</w:t>
      </w:r>
    </w:p>
    <w:p>
      <w:r>
        <w:t>E-4200/2023 Seite 8 diagnostizierten Beschwerden in Georgien möglich ist und dass ihr dort alle Arten von Medikamenten des westeuropäischen Marktes als Originalprä- parate oder Generika zur Verfügung stehen (vgl. [anstatt vieler] Urteil des BVGer E-3108/2023 vom E. 7.3.7 vom 21. Juni 2023 m.w.H.). Ebenfalls ist die Vorinstanz darin zu bestätigten, dass es ihr – gegebenenfalls mit Hilfe ihres jüngsten Sohnes – zuzumuten ist, bei den zuständigen heimatlichen Behörden um entsprechende Unterstützung zu ersuchen. In Georgien existiert ein einschlägiges Sozialhilfeprogramm für Personen unter der Ar- mutsgrenze, das eine kostenlose Krankenversicherung einschliesst (vgl. u.a. Urteil des BVGer D-5624/2022 vom 15. Dezember 2022 E. 9.1.6 m.w.H.). Zudem hat sich der Zugang der Bevölkerung zur Gesundheitsver- sorgung seit der Einführung des organisierten, staatlich finanzierten allge- meinen Gesundheitsprogramms «Universal Health Care Programme» (UHCP) weiter verbessert (vgl. Urteil des BVGer E-2171/2023 vom 2. Au- gust 2023 E. 11.3.2 m.w.H.). Unter diesen Umständen ist anzunehmen, dass die Beschwerdeführerin ausreichend Zugang zur medizinischen Ver- sorgung haben wird und ihr so eine menschenwürdige Existenz gewähr- leistet ist. Der Vollständigkeit halber ist die Beschwerdeführerin an dieser Stelle auf die Möglichkeit hinzuweisen, bei der Vorinstanz ein Gesuch um Gewäh- rung medizinischer Rückkehrhilfe zu stellen (Art. 75 der Asylverordnung 2 vom 11. August 1999 [AsylV 2, SR 142.312]). Die Vorinstanz hat dementsprechend in der angefochtenen Verfügung zu Recht festgestellt, dass der Zugang zu einer angemessenen medizini- schen Versorgung gewährleistet ist. Die Beschwerdeführerin hat in ihrer auf Beschwerdeebene pauschal gehaltenen Ausführungen nicht aufge- zeigt, dass sie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rPr>
          <w:b/>
        </w:rPr>
        <w:t>E. 9.3.7</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w:t>
      </w:r>
    </w:p>
    <w:p>
      <w:r>
        <w:t>E-4200/2023 Seite 9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der Beschwerdeführerin aufzuerlegen (Art. 63 Abs. 1 und 5 VwVG). Die Kosten sind auf Fr. 750.– festzusetzen (Art. 1–3 des Regle- ments vom 21. Februar 2008 über die Kosten und Entschädigungen vor dem Bundesverwaltungsgericht [VGKE, SR 173.320.2] i.V.m. Art. 16 Abs. 1 Bst. a VGG). (Dispositiv nächste Seite)</w:t>
      </w:r>
    </w:p>
    <w:p>
      <w:r>
        <w:t>E-4200/2023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