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E-419/2019 vom 31. Januar 2019</w:t>
      </w:r>
    </w:p>
    <w:p>
      <w:r>
        <w:t>Bundesverwaltungsgericht, 2019-01-31, DE</w:t>
      </w:r>
    </w:p>
    <w:p>
      <w:r>
        <w:rPr>
          <w:b/>
        </w:rPr>
        <w:t xml:space="preserve">Quelle: </w:t>
      </w:r>
      <w:r>
        <w:t>https://mcp.opencaselaw.ch/entscheid/bvger_E-419_2019</w:t>
      </w:r>
    </w:p>
    <w:p>
      <w:r>
        <w:t>FR: TAF E-419/2019 du 31 janvier 2019</w:t>
      </w:r>
    </w:p>
    <w:p>
      <w:r>
        <w:t>IT: TAF E-419/2019 del 31 gennaio 2019</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Vorbehalt von Erwägung E. 4. -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 Soweit der Beschwerdeführer beantragt, es sei ihm die Flüchtlingseigenschaft zuzuerkennen und Asyl zu gewähren, wird eine Erweiterung des Streitgegenstandes angestrebt, was unzulässig ist. Auf die entsprechenden Anträge ist nicht einzutreten.</w:t>
      </w:r>
    </w:p>
    <w:p>
      <w:r>
        <w:rPr>
          <w:b/>
        </w:rPr>
        <w:t>E. 4.2</w:t>
      </w:r>
    </w:p>
    <w:p>
      <w:r>
        <w:t>Der Beschwerde kommt von Gesetzes wegen aufschiebende Wirkung zu und die Vorinstanz hat diese vorliegend nicht entzogen. Auf den in der Rechtsmitteleingabe gestellten Eventualantrag auf Gewährung der aufschiebenden Wirkung ist daher nicht einzutreten.</w:t>
      </w:r>
    </w:p>
    <w:p>
      <w:r>
        <w:rPr>
          <w:b/>
        </w:rPr>
        <w:t>E. 5</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6.1</w:t>
      </w:r>
    </w:p>
    <w:p>
      <w:r>
        <w:t>Die Vorinstanz gelangt in der angefochtenen Verfügung zum Schluss, auf das Asylgesuch sei gemäss Art. 31a Abs. 1 Bst. a AsylG nicht einzutreten. Der Bundesrat habe Rumänien als sicheren Drittstaat bezeichnet. Im vorliegenden Fall würden zwar Anzeichen bestehen, dass der Beschwerdeführer die Flüchtlingseigenschaft nach Art. 3 AsylG erfülle, da er in Rumänien als Flüchtling anerkannt worden sei. In diesem Zusammenhang sei auf Art. 25 Abs. 2 VwVG zu verweisen. Gemäss dieser Bestimmung sei einem Begehren um Feststellung der Flüchtlingseigenschaft in der Schweiz nur dann zu entsprechen, wenn ein schutzwürdiges Interesse nachgewiesen werde. Dieser Nachweis könne dem Beschwerdeführer nicht gelingen, weil bereits ein Drittstaat die Flüchtlingseigenschaft festgestellt und ihm Schutz vor Verfolgung gewährt habe. Der Beschwerdeführer könne nach Rumänien zurückkehren, ohne eine Rückschiebung in Verletzung des Non-Refoulement-Prinzips zu befürchten.</w:t>
      </w:r>
    </w:p>
    <w:p>
      <w:r>
        <w:rPr>
          <w:b/>
        </w:rPr>
        <w:t>E. 6.2</w:t>
      </w:r>
    </w:p>
    <w:p>
      <w:r>
        <w:t>Die Vorinstanz stellt in der angefochtenen Verfügung zutreffend fest, dass es sich bei Rumänien um einen sicheren Drittstaat im Sinne von Art. 6a Abs. 2 Bst. b AsylG handelt. Aus den Akten geht sodann hervor, dass die rumänischen Behörden den Beschwerdeführer als Flüchtling anerkannt und der Rückübernahme am 6. Dezember 2018 zugestimmt haben. Hinweise auf eine Verfolgung, die geeignet wären, die Regelvermutung des verfolgungssicheren Drittstaates im konkreten Fall umzustossen, liegen nicht vor. Der Tod eines Freundes ist zwar tragisch und bedauerlich, vermag jedoch an dieser Schlussfolgerung nichts zu ändern. Die Vorinstanz ist demnach zu Recht auf das Asylgesuch nicht eingetreten.</w:t>
      </w:r>
    </w:p>
    <w:p>
      <w:r>
        <w:rPr>
          <w:b/>
        </w:rPr>
        <w:t>E. 7</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Der Beschwerdeführer ist den Akten zufolge seit dem (...) 2018 in Rumänien als Flüchtling anerkannt. Es besteht daher kein Anlass zur Annahme, es drohe ihm eine Verletzung des in Art. 33 Abs. 1 des Abkommens vom 28. Juli 1951 über die Rechtsstellung der Flüchtlinge (FK, SR 0.142.30) verankerten Grundsatzes der Nichtrückschiebung. Aufgrund der Akten liegen ferner keine Anhaltspunkte dafür vor, dass der Beschwerdeführer für den Fall einer Ausschaffung nach Rumänien dort mit beachtlicher Wahrscheinlichkeit einer nach Art. 3 EMRK oder Art. 1 des Übereinkommens vom 10. Dezember 1984 gegen Folter und andere grausame, unmenschliche oder erniedrigende Behandlung oder Strafe (FoK, SR 0.105) verbotenen Strafe oder Behandlung ausgesetzt wäre. Den Akten ist zu entnehmen, dass der Beschwerdeführer vor (...) Jahren in Folge einer Operation auf dem (...) vollständig (...) und seither an chronischen Kopfschmerzen leidet. Eine am (...) 2018 im Spital (...) durchgeführte MRI-Untersuchung hat indes keinen pathologischen Befund respektive keine Erklärung für die Kopfschmerzen ergeben (vgl. SEM-Akten A20/6). Die gesundheitlichen Probleme des Beschwerdeführers können demnach nicht unter die vom EGMR in seinem Urteil vom 13. Dezember 2016 (Nr. 41738/10 Paposhvili gg. Belgien), §183, genannten "other very exceptional cases" subsumiert werden: Beim Beschwerdeführer handelt es sich nicht um eine schwerkranke Person, bei der die ernsthafte Gefahr besteht, dass sie bei einer Rückschaffung nach Rumänien einer ernsthaften, rapiden und irreversiblen Verschlechterung ihres Gesundheitszustandes, verbunden mit übermässigem Leiden oder einer bedeutenden Verkürzung der Lebenserwartung, ausgesetzt wäre, zumal die medizinische Versorgung in Rumänien gewährleistet ist. Soweit der Beschwerdeführer geltend macht, Ausländer würden in Rumänien angegriffen, ist festzuhalten, dass er im Falle einer Bedrohungslage die dortige Schutzinfrastruktur in Anspruch nehmen kann. In Anbetracht dessen, dass offenbar ein geordnetes Asylverfahren durchgeführt und dem Beschwerdeführer die Flüchtlingseigenschaft zuerkannt wurde sowie aufgrund der umgehenden Beantwortung der Anfrage um Rückübernahme, erweist sich der Einwand in der Beschwerde, Rumänien würde über kein funktionierendes Rechtssystem verfügen, als unbegründet. Es liegen somit keine konkreten Hinweise vor, dass der Beschwerdeführer im Falle seiner Rückkehr nach Rumänien einer unmenschlichen oder erniedrigenden Behandlung im Sinne von Art. 3 EMRK ausgesetzt wäre. Der Vollzug der Wegweisung ist zulässig.</w:t>
      </w:r>
    </w:p>
    <w:p>
      <w:r>
        <w:rPr>
          <w:b/>
        </w:rPr>
        <w:t>E. 8.3.1</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8.3.2</w:t>
      </w:r>
    </w:p>
    <w:p>
      <w:r>
        <w:t>Als anerkannter Flüchtling stehen dem Beschwerdeführer in Rumänien alle Rechte aus der Flüchtlingskonvention zu. Dazu gehört die Gleichbehandlung mit rumänischen Bürgern beziehungsweise anderen Ausländern, beispielsweise in Bezug auf den Zugang zu Gerichten, die Erwerbstätigkeit, die Fürsorge und die soziale Sicherheit (vgl. Art. 16-24 FK). Rumänien ist auch an die Richtlinie 2011/95 der EU (Qualifikationsrichtlinie) gebunden. Im Kapitel VII dieser Richtlinie werden die den Flüchtlingen und Personen mit subsidiärem Schutzstatus zu gewährenden Rechte geregelt (Art. 26 [Zugang zu Beschäftigung], Art. 27 [Zugang zu Bildung], Art. 29 [Sozialhilfeleistungen], Art. 30 [medizinische Versorgung] und Art. 32 Wohnraum ).</w:t>
      </w:r>
    </w:p>
    <w:p>
      <w:r>
        <w:rPr>
          <w:b/>
        </w:rPr>
        <w:t>E. 8.3.3</w:t>
      </w:r>
    </w:p>
    <w:p>
      <w:r>
        <w:t>Es liegen keine konkreten Anhaltspunkte vor, dass der Beschwerdeführer in Rumänien in eine existenzbedrohende Situation geraten wird. In der Rechtsmitteleingabe weist er erneut auf die desolate Lage auf dem Arbeitsmarkt hin. Es liegt indes am Beschwerdeführer, gegenüber den rumänischen Behörden seinen Anspruch auf Unterstützung, Unterkunft und medizinische Versorgung geltend zu machen, gegebenenfalls auf dem Rechtsweg. Sodann können seine medizinischen Probleme auch in Rumänien behandelt werden. Um Wiederholungen zu vermeiden, kann auf die entsprechenden Erwägungen in der angefochtenen Verfügung verwiesen werden. Der Vollzug erweist sich als zumutbar.</w:t>
      </w:r>
    </w:p>
    <w:p>
      <w:r>
        <w:rPr>
          <w:b/>
        </w:rPr>
        <w:t>E. 8.4</w:t>
      </w:r>
    </w:p>
    <w:p>
      <w:r>
        <w:t>Der Vollzug der Wegweisung ist schliesslich nach Art. 83 Abs. 2 AIG möglich, da die rumänischen Behörden einer Rückübernahme des Beschwerdeführers ausdrücklich zugestimmt haben.</w:t>
      </w:r>
    </w:p>
    <w:p>
      <w:r>
        <w:rPr>
          <w:b/>
        </w:rPr>
        <w:t>E. 9</w:t>
      </w:r>
    </w:p>
    <w:p>
      <w:r>
        <w:t>Zusammenfassend ist festzuhalten, dass der Wegweisungsvollzug zulässig, zumutbar und möglich ist, womit die Anordnung einer vorläufigen Aufnahme ausser Betracht fällt (Art. 83 Abs. 1-4 AIG).</w:t>
      </w:r>
    </w:p>
    <w:p>
      <w:r>
        <w:rPr>
          <w:b/>
        </w:rPr>
        <w:t>E. 10</w:t>
      </w:r>
    </w:p>
    <w:p>
      <w:r>
        <w:t>Aus diesen Erwägungen ergibt sich, dass die angefochtene Verfügung Bundesrecht nicht verletzt und auch sonst nicht zu beanstanden ist (Art. 106 Abs. 1 AsylG). Die Beschwerde ist abzuweisen, soweit darauf einzutreten ist.</w:t>
      </w:r>
    </w:p>
    <w:p>
      <w:r>
        <w:rPr>
          <w:b/>
        </w:rPr>
        <w:t>E. 11.1</w:t>
      </w:r>
    </w:p>
    <w:p>
      <w:r>
        <w:t>Der Beschwerdeführer beantragt die Gewährung der unentgeltlichen Prozessführung (Art. 65 Abs. 1 VwVG) und der amtlichen Rechtsverbeiständung (Art. 110a AsylG). Aufgrund der vorstehenden Erwägungen ergibt sich, dass seine Begehren als aussichtlos zu gelten haben. Damit ist eine der kumulativ zu erfüllenden Voraussetzungen nicht gegeben, weshalb den Gesuchen nicht stattzugeben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vorliegenden Urteil wird der Antrag auf Verzicht auf die Erhebung eines Kostenvorschusses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