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E-4196/2012 vom 28. Februar 2013</w:t>
      </w:r>
    </w:p>
    <w:p>
      <w:r>
        <w:t>Bundesverwaltungsgericht, 2013-02-28, DE</w:t>
      </w:r>
    </w:p>
    <w:p>
      <w:r>
        <w:rPr>
          <w:b/>
        </w:rPr>
        <w:t xml:space="preserve">Quelle: </w:t>
      </w:r>
      <w:r>
        <w:t>https://mcp.opencaselaw.ch/entscheid/bvger_E-4196_2012</w:t>
      </w:r>
    </w:p>
    <w:p>
      <w:r>
        <w:t>FR: TAF E-4196/2012 du 28 février 2013</w:t>
      </w:r>
    </w:p>
    <w:p>
      <w:r>
        <w:t>IT: TAF E-4196/2012 del 28 febbraio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Die angefochtene Verfügung bezieht sich formell lediglich auf den Beschwerdeführer. Die Beschwerdeführerin wurde in der Verfügung des BFM vom 9. Juli 2012 zu Recht nicht erwähnt. Das Wiedererwägungsgesuch vom 15. Juni 2012 bezog sich in seiner materiellen Begründung lediglich auf den Beschwerdeführer. Die auf Beschwerdeebene neu erwähnte fürsorgerische Freiheitsentziehung der Beschwerdeführerin war damals nicht Verfahrensgegenstand, zumal diese auch erst nach der Eingabe des Wiedererwägungsgesuches erfolgte. Die Verfügung des BFM vom 21. Juni 2000, worin das Asylgesuch der Beschwerdeführerin abgelehnt und ihre Wegweisung verfügt wurde, ist nicht betroffen. Damit ist die Beschwerdeführerin durch die angefochtene Verfügung nicht berührt und mangels formeller Beschwer im vorliegenden Verfahren nicht zur Beschwerde legitimiert.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Allerdings ist gemäss EMARK 1998 Nr. 3 wegen des zwingenden Charakters des Nonrefoulement-Gebotes gemäss Art. 33 des Abkommens vom 28. Juli 1951 über die Rechtsstellung der Flüchtlinge (FK, SR 0.142.30) und Art. 3 der Konvention vom 4. November 1950 zum Schutze der Menschenrechte und Grundfreiheiten (EMRK, SR 0.101)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beziehungsweise der Gesuchstellerin Verfolgung oder menschenrechtswidrige Behandlung droht und damit ein völkerrechtliches Wegweisungshindernis besteht.</w:t>
      </w:r>
    </w:p>
    <w:p>
      <w:r>
        <w:rPr>
          <w:b/>
        </w:rPr>
        <w:t>E. 4.1</w:t>
      </w:r>
    </w:p>
    <w:p>
      <w:r>
        <w:t>Nachdem die Vorinstanz den Anspruch des Beschwerdeführers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Urteil der ARK vom 21. Dezember 2006 geltend gemachten nachträglich veränderten tatsächlichen und rechtlichen Voraussetzungen eine Anpassung der ursprünglichen Verfügung erfordern.</w:t>
      </w:r>
    </w:p>
    <w:p>
      <w:r>
        <w:rPr>
          <w:b/>
        </w:rPr>
        <w:t>E. 5.1</w:t>
      </w:r>
    </w:p>
    <w:p>
      <w:r>
        <w:t>Das Bundesamt führte zur Begründung seiner Verfügung aus, die mit dem Gesuch eingereichten ärztlichen Berichte vermöchten an der Zumutbarkeit der Wegweisung (recte: des Wegweisungsvollzuges) nichts zu ändern. Auch unter Berücksichtigung der offensichtlich mit der bevorstehenden Rückführung in den Heimatstaat zusammenhängenden Verschlimmerung des Gesundheitszustandes des Beschwerdeführers sei von der grundsätzlichen Behandelbarkeit seiner gesundheitlichen Probleme in Moldova auszugehen. Sollten sich allenfalls vorhandene suizidale Tendenzen akzentuieren, wäre dem mit geeigneten medikamentösen oder auch psychotherapeutischen Massnahmen entgegenzuwirken, so dass eine konkrete Gefahr ernster gesundheitlicher Schäden ausgeschlossen werden könne. Im Weiteren könne davon ausgegangen werden, dass eine Rückkehr in den angestammten Sprach- und Kulturkreis in mancherlei Hinsicht positive Folgen auf die Lebenssituation und das psychische Befinden des Beschwerdeführers habe. Insgesamt sei nicht davon auszugehen, dass eine freiwillige oder zwangsweise Rückkehr in die Heimat mangels ausreichender medizinischer Behandlungsmöglichkeiten eine drastische und lebensbedrohende Verschlechterung seines Gesund-heitszustandes nach sich ziehen würde. Es sei nichts Aussergewöhnliches, wenn abgewiesene Asylsuchende Zukunftsängste entwickeln oder in Depressionen verfallen würden, wobei auch suizidale Gedanken entstehen könnten. Es könne aber nicht hingenommen werden, dass weggewiesene Ausländer es in der Hand hätten, sich durch Berufung auf eine tatsächliche oder vermeintliche Suizidgefahr ein Aufenthaltsrecht in der Schweiz zu sichern. Der Beschwerdeführer könne medizinische Rückkehrhilfe beantragen. Im eingereichten ärztlichen Zeugnis werde zwar vermerkt, eine Ausweisung aus der Schweiz sei ohne bestehende Selbstgefährdung nicht möglich, aber es sei die Aufgabe einer psychiatrischen Klinik, den Gesundheitszustand und damit die Reisefähigkeit eines Patienten schnell wieder herzustellen. Zusammenfassend sei festzuhalten, dass keine Gründe vorliegen würden, welche die Rechtskraft der Verfügung vom 7. Dezember 1998 (recte: 22. April 1999) beseitigen könnten.</w:t>
      </w:r>
    </w:p>
    <w:p>
      <w:r>
        <w:rPr>
          <w:b/>
        </w:rPr>
        <w:t>E. 5.2</w:t>
      </w:r>
    </w:p>
    <w:p>
      <w:r>
        <w:t>In der Rechtsmitteleingabe machten die Beschwerdeführenden geltend, sie beide hätten mittels fürsorgerischer Freiheitsentziehung in die geschlossenen Abteilungen einer psychiatrischen Klinik eingewiesen werden müssen. Beim Beschwerdeführer habe sich schon im (...) eine akute Verschlechterung der schweren depressiven Symptomatik gezeigt, die Suizidalität spiele aktuell immer noch eine wesentliche Rolle, und er sei dringend auf fachärztliche Behandlung angewiesen. Durch den Suizidversuch seiner Ehefrau sei eine weitere Verschlechterung eingetreten, und er ziehe sich zunehmend zurück. Nach telefonischer Auskunft der Ärzte liege auch eine posttraumatische Belastungsstörung vor. Die Beschwerdeführerin sei nach einem Suizidversuch mit Tabletten (...) eingewiesen worden. Sie leide an einer schweren depressiven Episode mit psychotischen Symptomen und Angstzuständen, eine Rückkehr setze sie mit einem Todesurteil gleich. Sowohl sie als auch ihr Mann seien überzeugt, in Moldova ermordet zu werden. Beide Beschwerdeführenden seien nicht reisefähig und traumatisiert; auch die Tochter, welche in der Schweiz vorläufig aufgenommen worden sei, habe grosse Angst um die Eltern. Der Vollzug der Wegweisung müsse als unzumutbar angesehen werden, da er für die Beschwerdeführenden eine konkrete Gefährdung darstelle und eine Retraumatisierung bedeuten würde. Zudem seien die psychiatrischen Einrichtungen in Moldova in einem desolaten Zustand, und es fehle an modernen Geräten und oft auch an Psychopharmaka.</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nach den Bestimmungen über die vorläufige Aufnahme zu regeln (vgl. BVGE 2009/51 E. 5.4.).</w:t>
      </w:r>
    </w:p>
    <w:p>
      <w:r>
        <w:rPr>
          <w:b/>
        </w:rPr>
        <w:t>E. 6.2.1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Mit Blick auf die politische Lage, die Menschenrechtssituation und die allgemeinen Lebensumstände in Moldova, welches mit Beschluss des Bundesrates vom 1. Januar 2007 (ohne Transnistrien) zu einem sogenannten Safe Country (verfolgungssicheren Staat) erklärt wurde, ist eine Rückschaffung des Beschwerdeführers unter dem Aspekt der konkreten Gefährdung aufgrund allgemeiner Gewaltsituationen nicht unzumutbar.</w:t>
      </w:r>
    </w:p>
    <w:p>
      <w:r>
        <w:rPr>
          <w:b/>
        </w:rPr>
        <w:t>E. 6.2.2</w:t>
      </w:r>
    </w:p>
    <w:p>
      <w:r>
        <w:t>Im Folgenden ist zu prüfen, ob in Bezug auf die vom Beschwerdeführer geltend gemachten individuellen Wegweisungshindernisse eine wesentliche Änderung der Sachlage eingetreten ist. Den Ausführungen des Beschwerdeführers und den eingereichten Beweismitteln sind folgende Veränderungen seines Gesundheitszustandes zu entnehmen: Am (...) musste der Beschwerdeführer nach einem Suizidversuch wegen akuter Verschlechterung der schweren depressiven Symptomatik mittels fürsorgerischer Freiheitsentziehung in eine psychiatrische Klinik eingewiesen werden. Bis (...) wurde er dort stationär behandelt, anschliessend folgte eine tagesklinische und seit (...) eine ambulante psychiatrische Behandlung. Gemäss dem aktuellen ärztlichen Bericht des behandelnden Psychiaters (...) wurden beim Beschwerdeführer eine schwere depressive Episode ohne psychotische Symptome und eine posttraumatische Belastungsstörung diagnostiziert. Es bestehe bei ihm weiterhin ein schweres depressives Syndrom mit Suizidalität, im Falle einer Ausweisung sei mit an Sicherheit grenzender Wahrscheinlichkeit eine akute Zunahme der Suizidalität zu erwarten. Sein psychischer Zustand bleibe weiterhin sehr ernst und instabil, eine Reduktion der Psychopharmaka sei bisher nicht zu verantworten gewesen. Bei seiner Ehefrau wurden ebenfalls eine schwere depressive Episode ohne psychotische Symptome und eine posttraumatische Belastungsstörung diagnostiziert. Sie war (...) stationär in einer psychiatrischen Klinik hospitalisiert und wird dort seit (...) teilstationär behandelt. Die geltend gemachten gesundheitlichen Beschwerden sind durch ärztliche Zeugnisse belegt, und es besteht kein Anlass zu Zweifeln an den darin gezogenen Folgerungen. Aufgrund des von den behandelnden Ärzten aufgezeigten Krankheitsbildes und des Krankheitsverlaufs kann im vorliegenden Fall nicht, wie dies vom BFM angenommen wurde, davon ausgegangen werden, der Beschwerdeführer versuche sich durch Berufung auf eine vermeintliche Suizidgefahr ein Aufenthaltsrecht in der Schweiz zu sichern. Es handelt sich nicht um bloss vordergründige Androhungen selbstschädigender Handlungen, welche als Druckmittel gegen Vollzugsmassnahmen eingesetzt würden, vielmehr können keine ernsthaften Zweifel an einer gesundheitsgefährdenden psychischen Störung begründet werden.</w:t>
      </w:r>
    </w:p>
    <w:p>
      <w:r>
        <w:rPr>
          <w:b/>
        </w:rPr>
        <w:t>E. 6.2.3</w:t>
      </w:r>
    </w:p>
    <w:p>
      <w:r>
        <w:t>Zwar ist davon auszugehen, dass die gesundheitlichen Probleme des Beschwerdeführers in Moldova grundsätzlich behandelt werden können. Es muss bei der vorliegenden Aktenlage aber davon ausgegangen werden, dass sich die psychischen Beschwerden bei einer Rückkehr dorthin zumindest vorübergehend verschärfen würden und er daher auf eine engmaschige moralische sowie soziale Unterstützung angewiesen wäre. Aufgrund seines Alters und seiner psychischen Beschwerden dürfte er nicht in der Lage sein, einer Erwerbstätigkeit nachzugehen. Dasselbe gilt für seine Ehefrau, welche aufgrund ihrer eigenen psychischen Beschwerden ebenfalls nicht imstande sein dürfte, ihn moralisch zu unterstützen und ihm den nötigen Halt zu geben. Schliesslich muss bezweifelt werden, dass der Beschwerdeführer nach dem bald 15-jährigen Aufenthalt in der Schweiz in seiner Heimat noch über ein funktionierendes familiäres und soziales Beziehungsnetz verfügt. Damit ist weder das wirtschaftliche Fortkommen noch das Vorhandensein eines Beziehungsnetzes, welches ihm die unentbehrliche moralische und soziale Unterstützung geben könnte, gesichert. Eine erzwungene Rückkehr würde den Beschwerdeführer somit im jetzigen Zeitpunkt in eine Situation bringen, die zu einer konkreten Gefährdung im Sinne des Gesetzes führen könnte.</w:t>
      </w:r>
    </w:p>
    <w:p>
      <w:r>
        <w:rPr>
          <w:b/>
        </w:rPr>
        <w:t>E. 6.3</w:t>
      </w:r>
    </w:p>
    <w:p>
      <w:r>
        <w:t>In Berücksichtigung der geschilderten Umstände kommt das Gericht zum Schluss, dass eine wiedererwägungsrechtlich relevante veränderte Sachlage gegeben und der Wegweisungsvollzug aufgrund dessen als unzumutbar im Sinne von Art. 84 Abs. 4 AuG zu qualifizieren ist.</w:t>
      </w:r>
    </w:p>
    <w:p>
      <w:r>
        <w:rPr>
          <w:b/>
        </w:rPr>
        <w:t>E. 7</w:t>
      </w:r>
    </w:p>
    <w:p>
      <w:r>
        <w:t>Den Akten lassen sich keinerlei Hinweise entnehmen, wonach der Beschwerdeführer einen der Tatbestände von Art. 83 Abs. 7 AuG (Ausschluss der vorläufigen Aufnahme) erfüllen würde, weshalb er aufgrund des unzumutbaren Wegweisungsvollzugs in der Schweiz vorläufig aufzunehmen ist.</w:t>
      </w:r>
    </w:p>
    <w:p>
      <w:r>
        <w:rPr>
          <w:b/>
        </w:rPr>
        <w:t>E. 8</w:t>
      </w:r>
    </w:p>
    <w:p>
      <w:r>
        <w:t>Gemäss Art. 44 Abs. 1 in fine AsylG hat das BFM bei der Anordnung des Vollzugs der Wegweisung den Grundsatz der Einheit der Familie zu beachten. Gemäss konstanter Rechtsprechung geht diese Bestimmung über die Tragweite von Art. 8 EMRK hinaus, indem die vorläufige Aufnah-me des einen Familienmitglieds "in der Regel" auch zur vorläufigen Aufnahme der anderen Familienmitglieder führt. In personeller Hinsicht umfasst der Begriff der Familie dabei den Ehepartner und die minderjährigen Kinder, wobei der in dauerhaft eheähnlicher Gemeinschaft lebende Partner dem Ehepartner gleichzustellen ist Nachdem die Verfügung vom 21. Juni 2000 betreffend die Ehefrau des Beschwerdeführers weder Gegenstand des Wiedererwägungsgesuches noch des vorliegenden Verfahrens ist, fällt ein Einbezug in die vorläufige Aufnahme des Beschwerdeführers im Rahmen des vorliegenden Verfahrens ausser Betracht. Ein entsprechendes Gesuch wäre an das Bundesamt zu richten.</w:t>
      </w:r>
    </w:p>
    <w:p>
      <w:r>
        <w:rPr>
          <w:b/>
        </w:rPr>
        <w:t>E. 9</w:t>
      </w:r>
    </w:p>
    <w:p>
      <w:r>
        <w:t>Die Beschwerde ist nach dem Gesagten gutzuheissen, die Verfügung des Bundesamtes vom 9. Juli 2012 aufzuheben und dieses anzuweisen, in teilweiser Wiedererwägung der Verfügung vom 22. April 1999 den Beschwerdeführer vorläufig aufzunehmen. Es ist ferner anzuweisen, die gemäss Dispositivziffer 3 der angefochtenen Verfügung erhobene Gebühr von Fr. 600.- zurückzuerstatten, sofern sie bezahlt worden ist.</w:t>
      </w:r>
    </w:p>
    <w:p>
      <w:r>
        <w:rPr>
          <w:b/>
        </w:rPr>
        <w:t>E. 10.1</w:t>
      </w:r>
    </w:p>
    <w:p>
      <w:r>
        <w:t>Bei diesem Ausgang des Verfahrens sind keine Kosten aufzuerlegen (Art. 63 Abs. 1 und 2 VwVG). Das Gesuch um Gewährung der unentgeltlichen Prozessführung (Art. 65 Abs. 1 VwVG) wird damit gegenstandslos.</w:t>
      </w:r>
    </w:p>
    <w:p>
      <w:r>
        <w:rPr>
          <w:b/>
        </w:rPr>
        <w:t>E. 10.2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Eine Kostennote wurde nicht eingereicht. Auf das Nachfordern einer solchen kann indes verzichtet werden, da sich der Aufwand für das Beschwerdeverfahren zuverlässig abschätzen lässt (Art. 14 Abs. 2 VGKE). Unter Berücksichtigung der massgebenden Bemessungsfaktoren (Art. 9-13 VGKE) und der Entschädigungspraxis in Vergleichsfällen hat das BFM dem Beschwerdeführer eine Parteientschädigung in der Höhe von pauschal Fr. 900. -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