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E-418/2021 vom 4. Mai 2021</w:t>
      </w:r>
    </w:p>
    <w:p>
      <w:r>
        <w:t>Bundesverwaltungsgericht, 2021-05-04, DE</w:t>
      </w:r>
    </w:p>
    <w:p>
      <w:r>
        <w:rPr>
          <w:b/>
        </w:rPr>
        <w:t xml:space="preserve">Quelle: </w:t>
      </w:r>
      <w:r>
        <w:t>https://mcp.opencaselaw.ch/entscheid/bvger_E-418_2021</w:t>
      </w:r>
    </w:p>
    <w:p>
      <w:r>
        <w:t>FR: TAF E-418/2021 du 4 mai 2021</w:t>
      </w:r>
    </w:p>
    <w:p>
      <w:r>
        <w:t>IT: TAF E-418/2021 del 4 maggio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Flüchtlingen wird nach Art. 54 AsylG kein Asyl gewährt, wenn sie erst durch ihre Ausreise aus dem Heimat- oder Herkunftsstaat oder wegen ihres Verhaltens nach der Ausreise Flüchtlinge im Sinne von Art. 3 AsylG wurden (subjektive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den Anforderungen an die Flüchtlingseigenschaft nach Art. 3 AsylG nicht stand. In der Verfügung wird einleitend festgehalten, der Beschwerdeführer sei während seines Aufenthaltes in der Schweiz mehrere Male straffällig geworden (vgl. die im angefochtenen Entscheid enthaltene Auflistung der Straftatbestände). Zur Begründung des Entscheids führt die Vorinstanz sodann aus, aufgrund der eingereichten Unterlagen sei die exilpolitische Tätigkeit des Beschwerdeführers zwar glaubhaft gemacht, die in diesem Zusammenhang geltend gemachten Drohungen und Einschüchterungen würde er aber weder konkret darlegen noch genügend substantiieren. Insbesondere sei nicht klar, wie er bedroht worden sei oder von wem die Drohungen stammen würden und er lege diesbezüglich auch keine Unterlagen vor. Sodann handle es sich bei der (...) um eine in seinem Heimatstaat legale und anerkannte Partei. Seit den Neuwahlen im Jahre 2018 hätten die politischen Repressionen zudem abgenommen. Auch die durchgeführte Botschaftsabklärung habe ergeben, dass alleine aus der Parteimitgliedschaft keine Gefahr für den Beschwerdeführer resultiere. Die dagegen erhobenen Einwände betreffend die Authentizität der Aussage und die Relevanz der auskunftgebenden Person seien substanzarm ausgefallen. Schliesslich seien auch seine geltend gemachten psychiatrischen Behandlungen durch nichts belegt.</w:t>
      </w:r>
    </w:p>
    <w:p>
      <w:r>
        <w:rPr>
          <w:b/>
        </w:rPr>
        <w:t>E. 6</w:t>
      </w:r>
    </w:p>
    <w:p>
      <w:r>
        <w:t>In der Rechtsmitteleingabe macht der Beschwerdeführer im Wesentlichen geltend, die Vorinstanz sei zu Unrecht zum Schluss gekommen, er sei aufgrund seines politischen Engagements keiner Gefahr vor Verfolgung in seinem Heimatland ausgesetzt. Insbesondere würden die im Rahmen der Botschaftsanfrage eingeholten Auskünfte diesbezüglich keine zuverlässige Einschätzung erlauben. Seine begangenen Straftaten würde er bereuen und er habe die ihm dafür auferlegten Strafen verbüsst. Er habe (...) Lebens in der Schweiz verbracht und sei heute (...) Jahre alt. Die Lebenserwartung in seinem Herkunftsland liege für Männer bei 60 Jahren. Ferner habe er dort keine Ausbildung absolviert und hätte im Falle einer Rückkehr auch keine Aussicht auf eine Erwerbstätigkeit. Zudem wäre er von seiner Familie getrennt und könnte nicht auf die Hilfe eines sozialen Netzwerkes zurückgreifen, weshalb eine Wegweisung - auch unter Berücksichtigung der geltenden Praxis - für ihn eine unverhältnismässige Härte darstellen würde.</w:t>
      </w:r>
    </w:p>
    <w:p>
      <w:r>
        <w:rPr>
          <w:b/>
        </w:rPr>
        <w:t>E. 7.1</w:t>
      </w:r>
    </w:p>
    <w:p>
      <w:r>
        <w:t>Die Vorinstanz stützt ihren Entscheid im Wesentlichen darauf, dass der Beschwerdeführer die geltend gemachten Bedrohungen nicht substantiiert darlege, die Botschaftsabklärung im Ergebnis ebenfalls keine Anhaltspunkte für eine mögliche Verfolgung ergeben habe und aufgrund der politischen Lage ferner keine Anzeichen bestünden, der Beschwerdeführer stehe als Angehöriger der politischen Opposition im Fokus der heimatlichen Behörden. Die exilpolitische Tätigkeit an sich wird im angefochtenen Entscheid nicht in Abrede gestellt.</w:t>
      </w:r>
    </w:p>
    <w:p>
      <w:r>
        <w:rPr>
          <w:b/>
        </w:rPr>
        <w:t>E. 7.2</w:t>
      </w:r>
    </w:p>
    <w:p>
      <w:r>
        <w:t>Im Dezember 2018 wurde Felix Tshisekedi als neuer Präsident der Demokratischen Republik Kongo gewählt. Im Zusammenhang mit dem Wahlprozedere berichteten Beobachter von massiven Unregelmässigkeiten. Der unterlegene Kandidat, Martin Fayulu, liess sinngemäss verlauten, er würde alles daransetzen, dem wahren Wahlresultat zum Durchbruch zu verhelfen, unterlag jedoch schlussendlich vor dem Verfassungsgericht. Gemäss Berichten soll der Hintergrund für die Unregelmässigkeiten bei der Wahl ein geheimes Abkommen zwischen dem bis dahin amtierenden Präsidenten Joseph Kabila und Felix Tshisekedi sein, welches ersteren auch nach seiner Amtszeit einen gewissen Machterhalt sichern sollte (vgl. BBC NEWS, Dr. Congo Poll: The divisive aftermath of Tshisekedi's victory, 10. Januar 2019, https://www.bbc.com/news/world-africa-46823459; Neue Zürcher Zeitung: Wenn Kabilas Marionette plötzlich zu regieren beginnt, 16. Dezember 2020, https://www.nzz.ch/international/kongo-wenn-kabilas-marionette-ploetzlich-zu-regieren-beginnt-ld.1592259; alle abgerufen am 19. März 2021).</w:t>
      </w:r>
    </w:p>
    <w:p>
      <w:r>
        <w:rPr>
          <w:b/>
        </w:rPr>
        <w:t>E. 7.3</w:t>
      </w:r>
    </w:p>
    <w:p>
      <w:r>
        <w:t>Aufgrund der zur Verfügung stehenden Unterlagen und Informationen betrachtet es das Gericht als glaubhaft dargelegt, dass der Beschwerdeführer sich im Internet zu den (...) bei den Präsidentschaftswahlen im Jahre 2018 kritisch geäussert hat und aufgrund seiner Auftritte, insbesondere auf seinem Youtube-Profil "(...)" (https://www.youtube.com/ channel / [...] / featured; abgerufen am 19. März 2021) seine politische Nähe zum beziehungsweise seine politische Unterstützung für (...) und (...), C._______, gegen aussen wahrnehmbar ist. Sodann ist für das Gericht auch erstellt, dass er unter anderem in der Zeitung "(...)" vom (...) 2019 im Zusammenhang mit seinem politischen Engagement namentlich erwähnt wurde. Die Vorinstanz hat betreffend die Frage einer möglichen flüchtlingsrelevanten Gefährdung des Beschwerdeführers eine Botschaftsabklärung durchgeführt. Diesbezügliche Hinweise haben sich gestützt darauf keine ergeben. Der Beschwerdeführer macht in diesem Zusammenhang in der Rechtsmitteleingabe geltend, im Rahmen dieser Abklärungen seien nicht die richtigen Personen beziehungsweise keine bedeutenden Exponenten der (...) befragt worden. Dazu ist festzustellen, dass das von ihm eingereichte Schreiben des (...) der (...) vom 8. Oktober 2020 ebenfalls keine konkreten Anhaltspunkte für eine mögliche Gefährdung enthält. Das Schreiben bestätigt seinen politischen Aktivismus und dass er als (...) unter anderem (...) und (...) organisiere. Konkrete Anhaltspunkte für eine Verfolgung lassen sich dem Schreiben jedoch nicht entnehmen. Gleiches gilt für die Ausführungen in der Rechtsmitteleingabe, welche zwar die Art der Durchführung der Botschaftsabklärung und die Beweiswürdigung beanstanden, jedoch keine näheren Hinweise dafür enthalten, der Beschwerdeführer sei aufgrund seiner politischen Haltung in seinem Heimatland gefährdet. Auch ist der Beschwerde nicht zu entnehmen, wie und von wem gegen ihn bereits Drohungen gerichtet worden sein sollen. Sodann legte er in den vorangegangenen Verfahren nicht glaubhaft dar, er stehe in flüchtlingsrechtlich relevanter Weise im Fokus des früheren Regimes von Joseph Kabila und dass ihm daraus eine anhaltende Gefahr drohen könnte (vgl. zu entsprechenden Konstellationen: Urteile des BVGer E-5562/2020 E. 6.3.1 vom 9. Dezember 2020 sowie D-7269/2017 vom 9. Oktober 2020 E. 5.4 m.w.H). Insgesamt gelingt es dem Beschwerdeführer nicht, eine flüchtlingsrechtlich relevante Gefährdung für den Fall seiner Rückkehr in sein Heimatland glaubhaft darzulegen.</w:t>
      </w:r>
    </w:p>
    <w:p>
      <w:r>
        <w:rPr>
          <w:b/>
        </w:rPr>
        <w:t>E. 7.4</w:t>
      </w:r>
    </w:p>
    <w:p>
      <w:r>
        <w:t>Aufgrund des Ausgeführten ist festzuhalten, dass die Vorinstanz die Flüchtlingseigenschaft des Beschwerdeführers zu Recht verneint und sein Asylgesuch abgelehnt hat.</w:t>
      </w:r>
    </w:p>
    <w:p>
      <w:r>
        <w:rPr>
          <w:b/>
        </w:rPr>
        <w:t>E. 8.1</w:t>
      </w:r>
    </w:p>
    <w:p>
      <w:r>
        <w:t>Lehnt das SEM ein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Mögliche aus Art. 8 EMRK fliessende Vollzugshindernisse wurden bereits in den Urteilen des Bundesverwaltungsgerichts E-7756/2010 vom 25. Februar 2011 E. 8 sowie E-2612/2015 vom 31. Juli 2015 E. 5.2 behandelt und im Ergebnis verneint.</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Kongo (Kinshasa) herrscht keine landesweite Situation von Krieg, Bürgerkrieg oder allgemeiner Gewalt. In individueller Hinsicht ist der Wegweisungsvollzug jedoch in der Regel - selbst bei letztem Wohnsitz der Betroffenen in Kinshasa oder in einer über einen Flughafen verfügenden Stadt im Westen des Landes und bei Vorliegen eines Beziehungsnetzes an diesem Ort - unzumutbar, wenn die Betroffenen sich bereits in einem vorangeschrittenen Alter oder in einem schlechten Gesundheitszustand befinden (vgl. Referenzurteil BVGer E-731/2016 vom 20. Februar 2017 E. 7.3; bestätigt in jüngster Zeit in den Urteilen BVGer E-6011/2020 vom 8. Januar 2021 E. 8.2 f.; E-4739/2020 vom 25. November 2020 E. 9.4 f.; D7269/2017 vom 9. Oktober 2020 E. 11.2).</w:t>
      </w:r>
    </w:p>
    <w:p>
      <w:r>
        <w:rPr>
          <w:b/>
        </w:rPr>
        <w:t>E. 9.4.1</w:t>
      </w:r>
    </w:p>
    <w:p>
      <w:r>
        <w:t>In den vorangegangenen Verfahren wurde, insbesondere vor dem Hintergrund der in der Schweiz begangenen Delikte und der darauf gestützten Verweigerung der vorläufigen Aufnahme (vgl. Art. 83 Abs. 7 AIG), das Vorhandensein von Wegweisungsvollzugshindernissen zwar untersucht, allerdings nur punktuell. Die gerichtliche Prüfung der Verhältnismässigkeit im Zusammenhang mit der Anwendung von Art. 83 Abs. 7 AIG geht auf das Jahr 2011 zurück (vgl. Urteil des BVGer E-7756/2010 vom 25. Februar 2011 E. 6.3 ff.). Aufgrund der inzwischen verstrichenen Zeit scheint sowohl in Bezug auf die individuelle Zumutbarkeit als auch auf die Verhältnismässigkeit der Verweigerung der vorläufigen Aufnahme gestützt auf die erwähnte Ausnahmebestimmung eine erneute Überprüfung als angezeigt.</w:t>
      </w:r>
    </w:p>
    <w:p>
      <w:r>
        <w:rPr>
          <w:b/>
        </w:rPr>
        <w:t>E. 9.4.2</w:t>
      </w:r>
    </w:p>
    <w:p>
      <w:r>
        <w:t>Es ist vorauszuschicken, dass der langjährige, nur auf dem Status eines Asylgesuchstellers beruhende Aufenthalt in der Schweiz unter anderem darauf zurückzuführen ist, dass der Beschwerdeführer Aufforderungen zur Ausreise nicht nachkam, in der Schweiz längere Freiheitsstrafen verbüsste und immer wieder Asylverfahren (Wiedererwägungsgesuche, Revisionen, Mehrfachgesuche) anstrengte. Bezüglich der letzteren ist anzumerken, dass diese durch die Vorinstanz sowie das Gericht in den überwiegenden Fällen anhand genommen, das Vorliegen der Eintretensvoraussetzungen und damit eines legitimen Interesses an den angestrengten Verfahren mithin bejaht wurde. Insofern ist dem Beschwerdeführer der Umstand, dass er von seinen prozessualen Möglichkeiten Gebrauch machte, grundsätzlich nicht vorzuhalten. Dies nicht zuletzt vor dem Hintergrund, dass unbegründete und somit auch missbräuchliche Gesuche durch die Behörden ohne weiteres abzuschreiben wären (vgl. Art. 111b Abs. 4 AsylG sowie Art. 111c Abs. 2 AsylG). Dass solche Verfahren möglicherweise gerade im Wissen darum eingeleitet werden, dass sie - unter anderem auch wegen zeitweiser Überlastung der Asylbehörden - zumindest mehrere Monate in Anspruch nehmen können, mag unter Umständen als stossend anmuten. Die damit zusammenhängenden Schwierigkeiten sind jedoch zu einem nicht unerheblichen Teil auf Faktoren zurückzuführen, welche dem Einfluss der Asylgesuchsteller entzogen sind (gleiches gilt für die geltenden Modalitäten beim Strafvollzug von abgewiesenen Asylbewerbern). Ferner kann den Akten entnommen werden, dass sich die Ausstellung eines Laisser Passer als schwierig gestaltete, da die kongolesischen Behörden die Staatsbürgerschaft des Beschwerdeführers zuerst anerkannten, dann widerriefen und schliesslich Ende des Jahres 20(...) erneut anerkannten (vgl. Rückkehrakten BFM, Fax vom 31. März 20(...) sowie Auditions (...) 20(...) [ohne Paginierung]). Schliesslich kann den Akten nicht entnommen werden, dass der Beschwerdeführer jemals untergetaucht und den Behörden sein Aufenthalt unbekannt gewesen wäre. Im Ergebnis ist bei den nachfolgenden Beurteilungen zu berücksichtigen, dass der langjährige Aufenthalt in der Schweiz nicht allein auf das Verhalten des Beschwerdeführers zurückzuführen ist.</w:t>
      </w:r>
    </w:p>
    <w:p>
      <w:r>
        <w:rPr>
          <w:b/>
        </w:rPr>
        <w:t>E. 9.4.3</w:t>
      </w:r>
    </w:p>
    <w:p>
      <w:r>
        <w:t>Der Beschwerdeführer wurde in der Hauptstadt Kinshasa geboren, wo er auch (...) und gearbeitet hat. Seit dem Jahre (...) lebt er in der Schweiz, ist heute (...) Jahre alt und leidet unter anderem an (...). Seine Frau und seine (...) erwachsenen Kinder leben mit Aufenthaltsbewilligungen B in der Schweiz. (...) seiner Kinder wurden hier geboren (vgl. SEM-Akten D10/14 Ziff. 2 ff.). Gemäss den vorliegenden Informationen sind die Eltern des Beschwerdeführers sowie (...) seiner Geschwister bereits verstorben und er hat in seinem Heimatland noch (...) und verheiratete Schwestern, zu denen er nach eigenen Angaben keinen besonderen Kontakt pflegt (vgl. a.a.O. Ziff. 3.01). Sodann ist aufgrund der Vollzugakten zu schliessen, dass er bei seiner damaligen Ausreise aus dem Kongo (...) (vgl. Rückkehrakten des BFM, Donnés personnelles fournies par l'intéressé en vue de la confirmation de la nationalité Congolaise [ohne Paginierung]). Die soziale und wirtschaftliche Situation der noch lebenden Schwestern sowie der Tochter ist nicht aktenkundig. In den früheren Verfahren wurde - neben der angesichts seines damaligen Alters noch implizierten arbeitsmarktlichen Wettbewerbsfähigkeit - in diesem Zusammenhang argumentiert, er könne im Falle einer Rückkehr bei Bedarf von seinem schweizerischen Umfeld unterstützt werden. Aus heutiger Sicht befindet sich der Beschwerdeführer, zumindest bezüglich des Zugangs zum heimischen Arbeitsmarkt, im fortgeschrittenen Alter. Nach rund (...)-jähriger Landesabwesenheit dürfte es sich für ihn äusserst schwierig gestalten, in seinem Herkunftsland, dessen soziale und humanitäre Situation als katastrophal bezeichnet wird und welches sich gemäss Index der menschlichen Entwicklung unter den zwanzig ärmsten Ländern der Welt befindet (vgl. Bundesministerium für wirtschaftliche Zusammenarbeit und Entwicklung, https://www.bmz.de/de/laender_regionen/subsahara/demokratische_republik_kongo/index.jsp; United Nations Developement Programme, Human Development Report, http://hdr.undp.org/en/content/latest-human-development-index-ranking; alle abgerufen am 24. März 2021) in wirtschaftlicher Hinsicht wieder Fuss zu fassen. Dass der Beschwerdeführer allenfalls von der Schweiz aus durch seine Familie unterstützt werden könnte, ist zwar nicht ausgeschlossen, er wäre indes von deren wirtschaftlichen Fortkommen abhängig und auch den diesbezüglichen Veränderungen ausgesetzt. Allfällige (auch nur vorübergehende) finanzielle Engpässe hätten sodann allenfalls Auswirkungen auf sein (...), für welches er regelmässige Behandlung und Medikamente benötigt (dazu und zur Behandelbarkeit des Leidens bei Vorhandensein der notwendigen finanziellen Mittel, vgl. Urteil des BVGer E-2612/2015 vom 31. Juli 2015 E. 4.3). Gemäss den vorliegenden Unterlagen treten zu dieser Ausgangslage auch noch psychische Probleme hinzu (vgl. Urteil des BVGer E-918/2018 vom 23. Februar 2018 E. 5.2 ff). Aufgrund des Ausgeführten ist als Zwischenergebnis festzuhalten, dass eine Rückkehr des Beschwerdeführers in sein Heimatland unter dem Gesichtspunkt der individuellen Zumutbarkeit mit nicht unbedeutenden finanziellen, wirtschaftlichen sowie gesundheitlichen Unwägbarkeiten verbunden wäre.</w:t>
      </w:r>
    </w:p>
    <w:p>
      <w:r>
        <w:rPr>
          <w:b/>
        </w:rPr>
        <w:t>E. 9.4.4</w:t>
      </w:r>
    </w:p>
    <w:p>
      <w:r>
        <w:t>Gemäss Art. 83 Abs. 7 Bst. a und b AIG wird eine vorläufige Aufnahme wegen Unzumutbarkeit oder Unmöglichkeit (Art. 83 Abs. 4 und Abs. 2 AIG)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Sicherheit und Ordnung in der Schweiz oder im Ausland verstossen hat oder diese gefährdet oder die innere oder äussere Sicherheit gefährdet. Allerdings muss der Ausschluss von der vorläufigen Aufnahme verhältnismässig sein (Art. 5 Abs. 2 BV; Art. 96 Abs. 1 AIG, vgl. Urteil des BVGer E-7756/2010 vom 25. Februar 2011 E 6.3 m.H.a. BVGE 2007/32). Im Zusammenhang mit dem diesbezüglichen Beurteilungsspielraum der Behörden ist nicht von einer schematischen Betrachtungsweise auszugehen, sondern auf die gesamten Umstände des Einzelfalls abzustellen (vgl. BGE 135 II 377 E. 4.3, 134 II 1 E. 2.2 m.w.H.; Urteil des BVGer D-1105/2017 vom 31. Mai 2017 E. 5.1, m.w.H.). Im Urteil des Bundesverwaltungsgerichts E-7756/2010 vom 25. Februar 2011 wurde festgehalten, der Beschwerdeführer sei insbesondere wegen (...) zu (...) Monaten Freiheitsstrafe, davon (...) Monate unbedingt, verurteilt worden und die Gerichte hätten ihm eine "grande énergie criminelle" attestiert (vgl. a.a.O. E. 6.3.3). Am (...) 20(...) wurde er bedingt aus dem Strafvollzug entlassen. In den folgenden Jahren wurde er erneut straffällig. Im Jahre 20(...) wurde er wegen Widerhandlung gegen das (...) zu einer Freiheitsstrafe von (...) Tagen sowie Busse und im Jahre 20(...) unter anderem wegen (...) und (...) zu gemeinnütziger Arbeit verurteilt. Im Jahre 20(...) wurde er wegen (...) erneut zu gemeinnütziger Arbeit verurteilt. Der Hinweis in der angefochtenen Verfügung auf eine im Jahre 20(...) eingeleitete Untersuchung wegen (...) ist weder aktenkundig noch wurde auf entsprechende Nachfrage die Einleitung des Verfahrens oder eine strafrechtliche Verurteilung durch die Vorinstanz bestätigt. Die ihm auferlegte Freiheitsstrafe wegen (...) und (...) hat der Beschwerdeführer verbüsst. Die seit seiner bedingten Entlassung aus dem Strafvollzug vom (...) 20(...) begangenen Delikte weisen einen geringeren Schweregrad auf, insbesondere die zuletzt bekannte Verurteilung wegen (...) im Jahre 20(...). Aufgrund der gegenwärtigen Aktenlage ist davon auszugehen, dass er sich seit mehr als (...) Jahren wohl verhalten hat. Auch wenn augenscheinlich ist, dass es dem Beschwerdeführer namentlich zu Beginn seines Aufenthalts in der Schweiz schwer fiel, sich an die hiesige Rechtsordnung zu halten, fällt die Verhältnismässigkeitsprüfung im vorliegenden Fall, insbesondere aufgrund seines langjährigen Aufenthaltes in der Schweiz (vgl. dazu E. 9.4.2) und den im Falle einer Rückkehr zu gewärtigenden Risiken (vgl. E. 9.5.1), zugunsten des Beschwerdeführers aus. Das Interesse des Beschwerdeführers am Verbleib in der Schweiz überwiegt das öffentliche Interesse an seiner Fernhaltung.</w:t>
      </w:r>
    </w:p>
    <w:p>
      <w:r>
        <w:rPr>
          <w:b/>
        </w:rPr>
        <w:t>E. 9.4.5</w:t>
      </w:r>
    </w:p>
    <w:p>
      <w:r>
        <w:t>Damit ist die Beschwerde teilweise gutzuheissen und die angefochtene Verfügung im Wegweisungsvollzugs- und Gebührenpunkt aufzuheben (Dispositivziffern 3 bis 5 und 7). Nachdem keine Ausschlussgründe im Sinne von Art. 83 Abs. 7 AIG vorliegen, ist die Vorinstanz anzuweisen, die vorläufige Aufnahme des Beschwerdeführers in der Schweiz anzuordnen.</w:t>
      </w:r>
    </w:p>
    <w:p>
      <w:r>
        <w:rPr>
          <w:b/>
        </w:rPr>
        <w:t>E. 9.4.6</w:t>
      </w:r>
    </w:p>
    <w:p>
      <w:r>
        <w:t>Der Beschwerdeführer sei an dieser Stelle ausdrücklich darauf hingewiesen, dass eine verfügte vorläufige Aufnahme im Falle von fortgesetztem strafbaren Verhalten wieder aufgehoben werden und die Wegweisung aus der Schweiz vollzogen werden kann (vgl. Art. 84 Abs. 3 AIG).</w:t>
      </w:r>
    </w:p>
    <w:p>
      <w:r>
        <w:rPr>
          <w:b/>
        </w:rPr>
        <w:t>E. 10.1</w:t>
      </w:r>
    </w:p>
    <w:p>
      <w:r>
        <w:t>Bei diesem Ausgang des Verfahrens ist von einem hälftigen Obsiegen des Beschwerdeführers auszugehen, weshalb ihm die Verfahrenskosten im Betrag von Fr. 750.- aufzuerlegen sind (Art. 63 Abs. 1 VwVG). Diese sind durch den am 25. Februar 2021 an die Gerichtskasse geleisteten Kostenvorschuss von Fr. 1'500.- gedeckt und mit diesem zu verrechnen. Der Restbetrag in der Höhe von Fr. 750.- ist dem Beschwerdeführer zurückzuerstatten.</w:t>
      </w:r>
    </w:p>
    <w:p>
      <w:r>
        <w:rPr>
          <w:b/>
        </w:rPr>
        <w:t>E. 10.2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Der Beschwerdeführer ist nicht vertreten. Es ist demnach nicht davon auszugehen, dass dem Beschwerdeführer aus dem vorliegenden Verfahren verhältnismässig hohe Kosten entstanden sind,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