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E-4183/2014 vom 18. September 2014</w:t>
      </w:r>
    </w:p>
    <w:p>
      <w:r>
        <w:t>Bundesverwaltungsgericht, 2014-09-18, DE</w:t>
      </w:r>
    </w:p>
    <w:p>
      <w:r>
        <w:rPr>
          <w:b/>
        </w:rPr>
        <w:t xml:space="preserve">Quelle: </w:t>
      </w:r>
      <w:r>
        <w:t>https://mcp.opencaselaw.ch/entscheid/bvger_E-4183_2014</w:t>
      </w:r>
    </w:p>
    <w:p>
      <w:r>
        <w:t>FR: TAF E-4183/2014 du 18 septembre 2014</w:t>
      </w:r>
    </w:p>
    <w:p>
      <w:r>
        <w:t>IT: TAF E-4183/2014 del 18 settembre 2014</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Art. 51 Abs. 1 AsylG werden Ehegatten von Flüchtlingen als Flüchtlinge anerkannt und erhalten Asyl, sofern keine besonderen Umstände dagegen sprechen (Familienasyl). Wurden die anspruchsberechtigten Personen nach Absatz 1 durch die Flucht getrennt und befinden sie sich im Ausland, so ist ihre Einreise auf Gesuch hin zu bewilligen (Art. 51 Abs. 4 AsylG). Gemäss konstanter Rechtsprechung ist für die Gewährung des Familienasyls erforderlich, dass die im Ausland zurückgebliebene Person mit dem in der Schweiz anerkannten Flüchtling im Moment der Flucht in einem gemeinsamen Haushalt zusammengelebt hat (statt vieler Urteil des Bundesverwaltungsgerichts D-598/2013 vom 22. Februar 2013).</w:t>
      </w:r>
    </w:p>
    <w:p>
      <w:r>
        <w:rPr>
          <w:b/>
        </w:rPr>
        <w:t>E. 4.1</w:t>
      </w:r>
    </w:p>
    <w:p>
      <w:r>
        <w:t>Die Vorinstanz stellt in der angefochtenen Verfügung fest, der Beschwerdeführer habe seine Ehefrau am 18. März 2014 in C._______ geheiratet. Im Verlaufe des Asylverfahrens habe er seine Gattin nicht erwähnt, was darauf schliessen lasse, dass sie damals kein Paar gewesen seien.</w:t>
      </w:r>
    </w:p>
    <w:p>
      <w:r>
        <w:rPr>
          <w:b/>
        </w:rPr>
        <w:t>E. 4.2</w:t>
      </w:r>
    </w:p>
    <w:p>
      <w:r>
        <w:t>Am Vorbringen des Beschwerdeführers in der Rechtsmitteleingabe, er habe "kurz vor seiner Ausreise" religiös geheiratet, bestehen überwiegende Zweifel. Weder bei der Befragung zur Person noch anlässlich der Anhörung hat er jemals geltend gemacht, dass vor seiner Ausreise eine religiöse Eheschliessung stattgefunden habe. Befragt nach den Beziehungen im Heimatland (BFM-Akten, A12/16, S. 6 f.), hat er zwar mehrere Personen genannt, aber seine heutige Ehefrau mit keinem Wort erwähnt, obschon er damals bereits über eineinhalb Jahren verheiratet gewesen sein soll. Dies hätte von ihm indes ohne Weiteres erwartet werden dürfen. Dass er es nicht getan hat, hat er sich selbst anrechnen zu lassen. Eine religiöse Eheschliessung könnte - ganz abgesehen davon - in der Schweiz nur anerkannt werden, wenn belegt wäre, dass sie im Ausland gültig geschlossen worden ist (Art. 45 IPRG [SR 219]). Solche Belege fehlen gänzlich. Der Beschwerdeführer kann somit nicht nachweisen oder zumindest glaubhaft machen, dass im Zeitpunkt der Flucht eine (anerkennungsfähige) Ehe bestanden hatte. Damit ist ausgeschlossen, dass die anspruchsberechtigten Personen im Sinne von Art. 51 Abs. 4 AsylG durch die Flucht getrennt wurden. Die gesetzlichen Voraussetzungen für die Einreise sind somit offensichtlich nicht erfüllt.</w:t>
      </w:r>
    </w:p>
    <w:p>
      <w:r>
        <w:rPr>
          <w:b/>
        </w:rPr>
        <w:t>E. 4.3</w:t>
      </w:r>
    </w:p>
    <w:p>
      <w:r>
        <w:t>Demnach hat die Vorinstanz zu Recht die Einreise in die Schweiz nicht bewilligt und das Gesuch um Familiennachzug abgelehnt.</w:t>
      </w:r>
    </w:p>
    <w:p>
      <w:r>
        <w:rPr>
          <w:b/>
        </w:rPr>
        <w:t>E. 5</w:t>
      </w:r>
    </w:p>
    <w:p>
      <w:r>
        <w:t>Aus diesen Erwägungen ergibt sich, dass die angefochtene Verfügung Bundesrecht nicht verletzt und auch sonst nicht zu beanstanden ist (Art. 106 Abs. 1 AsylG).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