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E-417/2023 vom 24. April 2023</w:t>
      </w:r>
    </w:p>
    <w:p>
      <w:r>
        <w:t>Bundesverwaltungsgericht, 2023-04-24, FR</w:t>
      </w:r>
    </w:p>
    <w:p>
      <w:r>
        <w:rPr>
          <w:b/>
        </w:rPr>
        <w:t xml:space="preserve">Quelle: </w:t>
      </w:r>
      <w:r>
        <w:t>https://mcp.opencaselaw.ch/entscheid/bvger_E-417_2023</w:t>
      </w:r>
    </w:p>
    <w:p>
      <w:r>
        <w:t>FR: TAF E-417/2023 du 24 avril 2023</w:t>
      </w:r>
    </w:p>
    <w:p>
      <w:r>
        <w:t>IT: TAF E-417/2023 del 24 aprile 2023</w:t>
      </w:r>
    </w:p>
    <w:p>
      <w:pPr>
        <w:pStyle w:val="Heading2"/>
      </w:pPr>
      <w:r>
        <w:t>Regeste</w:t>
      </w:r>
    </w:p>
    <w:p>
      <w:r>
        <w:t>Asile (non-entrée en matière) et renvoi (procédure Dublin - art. 31a al. 1 let. b LAsi)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[RS 142.31] et art. 83 let. d ch. 1 LTF), exception non réalisée en l'espèce.</w:t>
      </w:r>
    </w:p>
    <w:p>
      <w:r>
        <w:rPr>
          <w:b/>
        </w:rPr>
        <w:t>E. 1.3</w:t>
      </w:r>
    </w:p>
    <w:p>
      <w:r>
        <w:t>Le Tribunal est donc compétent pour connaître du recours.</w:t>
      </w:r>
    </w:p>
    <w:p>
      <w:r>
        <w:rPr>
          <w:b/>
        </w:rPr>
        <w:t>E. 1.4</w:t>
      </w:r>
    </w:p>
    <w:p>
      <w:r>
        <w:t>L'intéressé a qualité pour recourir (art. 48 al. 1 PA, applicable par renvoi de l'art. 37 LTAF). Interjeté dans la forme (art. 52 al. 1 PA) et le délai (art. 108 al. 3 LAsi) prescrits par la loi, le recours est recevable.</w:t>
      </w:r>
    </w:p>
    <w:p>
      <w:r>
        <w:rPr>
          <w:b/>
        </w:rPr>
        <w:t>E. 1.5</w:t>
      </w:r>
    </w:p>
    <w:p>
      <w:r>
        <w:t>Il est renoncé à un échange d'écritures (art. 111a al. 1 LAsi).</w:t>
      </w:r>
    </w:p>
    <w:p>
      <w:r>
        <w:rPr>
          <w:b/>
        </w:rPr>
        <w:t>E. 2</w:t>
      </w:r>
    </w:p>
    <w:p>
      <w:r>
        <w:t>Saisi d'un recours contre une décision de non-entrée en matière sur une demande d'asile, le Tribunal se limite à examiner le bien-fondé d'une telle décision (cf. ATAF 2012/4 consid. 2.2; 2009/54 consid. 1.3.3; 2007/8 consid. 5).</w:t>
      </w:r>
    </w:p>
    <w:p>
      <w:r>
        <w:rPr>
          <w:b/>
        </w:rPr>
        <w:t>E. 3.1</w:t>
      </w:r>
    </w:p>
    <w:p>
      <w:r>
        <w:t>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w:t>
      </w:r>
    </w:p>
    <w:p>
      <w:r>
        <w:rPr>
          <w:b/>
        </w:rPr>
        <w:t>E. 3.3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w:t>
      </w:r>
    </w:p>
    <w:p>
      <w:r>
        <w:rPr>
          <w:b/>
        </w:rPr>
        <w:t>E. 3.4</w:t>
      </w:r>
    </w:p>
    <w:p>
      <w:r>
        <w:t>Dans une procédure de prise en charge (anglais : take charge), comme c'est le cas en espèce, les critères énumérés au chapitre III du règlement (art. 8-15) doivent être appliqués successivement (principe de l'application hiérarchique des critères de compétence, art. 7 par. 1 RD III). Pour ce faire, il y a lieu de se baser sur la situation existant au moment du dépôt de la première demande dans un Etat membre (art. 7 par. 2 RD III).</w:t>
      </w:r>
    </w:p>
    <w:p>
      <w:r>
        <w:rPr>
          <w:b/>
        </w:rPr>
        <w:t>E. 3.5</w:t>
      </w:r>
    </w:p>
    <w:p>
      <w:r>
        <w:t>En application de l'art. 13 par. 1 RD III, lorsqu'il est établi, sur la base de preuves ou d'indices tels qu'ils figurent dans les deux listes mentionnées à l'art. 22 par. 3 dudit règlement, notamment des données visées au règlement (UE) n° 603/2013, que le demandeur a franchi irrégulièrement, par voie terrestre, maritime ou aérienne, la frontière d'un Etat membre dans lequel il est entré en venant d'un Etat tiers, cet Etat membre est responsable de l'examen de la demande de protection internationale. Cette responsabilité prend fin douze mois après la date de franchissement irrégulier de la frontière.</w:t>
      </w:r>
    </w:p>
    <w:p>
      <w:r>
        <w:rPr>
          <w:b/>
        </w:rPr>
        <w:t>E. 4.1</w:t>
      </w:r>
    </w:p>
    <w:p>
      <w:r>
        <w:t>En l'occurrence, comme déjà relevé, les investigations entreprises par le SEM ont révélé, après consultation de l'unité centrale du système européen « Eurodac », que le recourant a franchi illégalement la frontière du territoire des Etats Schengen en Croatie et que ses empreintes digitales y ont été enregistrées le 8 octobre 2022. Les déclarations de l'intéressé selon lesquelles ses empreintes digitales auraient été relevées sans son consentement ne sont pas étayées. Quoi qu'il en soit, il ne peut être, sur le principe, reproché aux autorités croates d'avoir enregistré le recourant à son passage dans le pays. En procédant à ces relevés au moment de l'interpellation de l'intéressé et à leur transmission au système central Eurodac, les autorités croates se sont conformées à leur obligation découlant de l'art. 9 par. 1 et de l'art. 14 par. 1 du règlement Eurodac. Dans ces circonstances, rien n'indique que l'intéressé, aux fins du relevé de ses empreintes digitales, aurait subi de la part de la police croate des moyens de contrainte contraires à l'art. 3 CEDH ou aux art. 3 et 6 de la Convention du 10 décembre 1984 contre la torture et autres peines ou traitements cruels, inhumains ou dégradants (CCT, RS 0.105).</w:t>
      </w:r>
    </w:p>
    <w:p>
      <w:r>
        <w:rPr>
          <w:b/>
        </w:rPr>
        <w:t>E. 4.2</w:t>
      </w:r>
    </w:p>
    <w:p>
      <w:r>
        <w:t>Le 26 octobre 2022, le SEM a dès lors soumis aux autorités croates compétentes, dans les délais fixés à l'art. 21 par. 1 RD III, une requête aux fins de prise en charge, fondée sur l'art. 13 par. 1 de ce même règlement.</w:t>
      </w:r>
    </w:p>
    <w:p>
      <w:r>
        <w:rPr>
          <w:b/>
        </w:rPr>
        <w:t>E. 4.3</w:t>
      </w:r>
    </w:p>
    <w:p>
      <w:r>
        <w:t>Par communication du 26 décembre 2022, soit dans le délai fixé par l'art. 22 par. 1 RD III, lesdites autorités ont expressément accepté de prendre en charge l'intéressé, sur la base de l'art. 13 par. 1 RD III.</w:t>
      </w:r>
    </w:p>
    <w:p>
      <w:r>
        <w:rPr>
          <w:b/>
        </w:rPr>
        <w:t>E. 4.4</w:t>
      </w:r>
    </w:p>
    <w:p>
      <w:r>
        <w:t>La compétence de la Croatie pour le traitement de la demande d'asile du requérant est donc donnée, au regard des critères de détermination de l'Etat membre responsable (art. 7 ss RD III).</w:t>
      </w:r>
    </w:p>
    <w:p>
      <w:r>
        <w:rPr>
          <w:b/>
        </w:rPr>
        <w:t>E. 4.5</w:t>
      </w:r>
    </w:p>
    <w:p>
      <w:r>
        <w:t>Les allégations de l'intéressé selon lesquels il aurait préalablement transité par la Grèce ne sont en rien étayées et ne modifient donc pas ce constat.</w:t>
      </w:r>
    </w:p>
    <w:p>
      <w:r>
        <w:rPr>
          <w:b/>
        </w:rPr>
        <w:t>E. 5.1</w:t>
      </w:r>
    </w:p>
    <w:p>
      <w:r>
        <w:t>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 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5.2</w:t>
      </w:r>
    </w:p>
    <w:p>
      <w:r>
        <w:t>En principe, la Croatie est présumée respecter ses obligations tirées du droit international public, en particulier le principe de non-refoulement énoncé expressément à l'art. 33 de la Convention du 28 juillet 1951 relative au statut des réfugiés (CR, RS 0.142.30), ainsi que l'interdiction des mauvais traitements ancrée à l'art. 3 CEDH et à l'art. 3 CCT.</w:t>
      </w:r>
    </w:p>
    <w:p>
      <w:r>
        <w:rPr>
          <w:b/>
        </w:rPr>
        <w:t>E. 5.3</w:t>
      </w:r>
    </w:p>
    <w:p>
      <w:r>
        <w:t>La Croatie est également présumée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[refonte ; JO L 180/60 du 29.06.2013 ; ci-après : directive Procédure] et directive n° 2013/33/UE du Conseil du 26 juin 2013 relative à des normes minimales pour l'accueil des demandeurs d'asile dans les Etats membres [refonte ; JO L 180/96 du 29.06.2013 ; ci-après : directive Accueil] ; voir en ce sens arrêts du TAF F-3061/2021 du 9 juillet 2021 consid. 5.2 et E-711/2021 du 11 mars 2021 consid. 4.2.1 [transferts Dublin vers la Croatie]). La présomption de sécurité peut toutefois être renversée par des indices sérieux que, dans le cas concret, les autorités de cet Etat ne respecteraient pas le droit international, de sorte que la personne faisant l'objet du transfert courrait un risque réel de subir des traitements contraires aux dispositions précitées (cf. ATAF 2012/27 consid. 6.4 et 2011/9 consid. 6).</w:t>
      </w:r>
    </w:p>
    <w:p>
      <w:r>
        <w:rPr>
          <w:b/>
        </w:rPr>
        <w:t>E. 5.4</w:t>
      </w:r>
    </w:p>
    <w:p>
      <w:r>
        <w:t>Le Tribunal a certes admis la forte probabilité, pour des requérants entrant pour la première fois sur le territoire croate, que des refoulements illicites à la frontière, ainsi que des refoulements, sans examen individuel, directement à la frontière (« hot returns ») ou encore de violences excessives puissent se produire régulièrement en Croatie (cf. arrêt de coordination E-1488/2020 du 22 mars 2023 consid. 9.3.5, en lien avec le consid. 9.3.2). En revanche, s'agissant de requérants transférés en Croatie sur la base du règlement Dublin III, il est arrivé à la conclusion que ceux-ci avaient en principe accès à la procédure d'asile dans ce pays et a jugé que, dans le cadre tant d'une procédure de prise en charge (« take-charge") que d'une procédure de reprise en charge (« take-back »), les personnes transférées ne risquaient pas, selon une haute probabilité, d'être exposées à un risque de violation de leurs droits découlant du principe de non-refoulement. Il a également nié l'existence, dans la procédure d'asile et les conditions d'accueil en Croatie, de faiblesses systémiques au sens de l'art. 3 par. 2, phr. 2 et 3 du règlement Dublin III, qui feraient apparaître un transfert de requérants comme généralement inadmissible. Il a encore précisé qu'il ne fallait renoncer à un transfert que dans des cas exceptionnels, à savoir lorsque le requérant démontre, par des arguments fondés, que le principe énoncé ci-dessus ne s'applique pas à son cas d'espèce (cf. ibidem consid. 9.5).</w:t>
      </w:r>
    </w:p>
    <w:p>
      <w:r>
        <w:rPr>
          <w:b/>
        </w:rPr>
        <w:t>E. 5.5</w:t>
      </w:r>
    </w:p>
    <w:p>
      <w:r>
        <w:t>Par conséquent, l'application de l'art. 3 par. 2 du règlement Dublin III ne se justifie pas en l'espèce.</w:t>
      </w:r>
    </w:p>
    <w:p>
      <w:r>
        <w:rPr>
          <w:b/>
        </w:rPr>
        <w:t>E. 6.1</w:t>
      </w:r>
    </w:p>
    <w:p>
      <w:r>
        <w:t>Le recourant s'oppose néanmoins à son transfert vers la Croatie, déclarant y avoir été « beaucoup embêté » par la police, laquelle se serait « très mal comportée » à son égard. Au stade du recours, il a ajouté avoir été frappé avec un bâton.</w:t>
      </w:r>
    </w:p>
    <w:p>
      <w:r>
        <w:rPr>
          <w:b/>
        </w:rPr>
        <w:t>E. 6.2</w:t>
      </w:r>
    </w:p>
    <w:p>
      <w:r>
        <w:t>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Le SEM doit admettre la responsabilité de la Suisse pour examiner une telle demande lorsque le transfert envisagé vers l'Etat membre désigné responsable par lesdits critères viole des obligations de la Suisse relevant du droit international public (cf. ATAF 2015/9 consid. 8.2.1 et 2012/4 consid. 2.4).</w:t>
      </w:r>
    </w:p>
    <w:p>
      <w:r>
        <w:rPr>
          <w:b/>
        </w:rPr>
        <w:t>E. 6.3</w:t>
      </w:r>
    </w:p>
    <w:p>
      <w:r>
        <w:t>Le recourant n'a pas démontré que sa demande de protection, une fois déposée, ne serait pas traitée par les autorités croates conformément aux dispositions légales applicables dans ce pays et à la directive Procédure. Les prises de position critiques de plusieurs organismes (notamment le Conseil de l'Europe), connues du Tribunal, concernant la situation générale en Croatie en lien avec la procédure d'asile, ne sauraient infléchir ce raisonnement. En outre, le recourant n'a fourni aucun élément susceptible de démontrer que, dans le cadre de l'examen de sa demande d'asile, la Croatie ne respecterait pas le principe de non-refoulement, et donc faillirait à ses obligations internationales en le renvoyant dans un pays où sa vie, son intégrité corporelle ou sa liberté seraient sérieusement menacées, ou encore d'où il risquerait d'être astreint à se rendre dans un tel pays.</w:t>
      </w:r>
    </w:p>
    <w:p>
      <w:r>
        <w:rPr>
          <w:b/>
        </w:rPr>
        <w:t>E. 6.4</w:t>
      </w:r>
    </w:p>
    <w:p>
      <w:r>
        <w:t>L'intéressé n'a pas non plus apporté d'indices selon lesquels il serait privé durablement, en Croatie, après avoir déposé sa demande d'asile, des conditions matérielles prévues par la directive Accueil et qu'il ne pourrait au besoin y faire valoir ses droits. Il n'a en particulier pas démontré, ni même allégué, que ses conditions d'existence dans ce pays revêtiraient un tel degré de pénibilité et de gravité, pour un requérant d'asile, qu'elles seraient constitutives d'un traitement contraire à l'art. 3 CEDH ou encore à l'art. 3 CCT (cf. arrêt du TAF F-1125/2021 du 19 mars 2021 consid. 4.5). Sur le fond, les seules déclarations du recourant lors de son audition Dublin ne suffisent pas à établir qu'il a subi de la part de la police croate des traitements contraires à l'art. 3 CEDH ou à l'art. 3 CCT. L'intéressé n'explique pas en quoi il aurait été « embêté » par la police ni en quoi celle-ci se serait mal comportée à son égard, si ce n'est dans le cadre du relevé de ses empreintes digitales et de sa première entrée sur le territoire croate, question qui a été abordée plus haut (cf. consid. 4.1). Ses déclarations contradictoires concernant le fait qu'un ordre de quitter le pays lui aurait été remis (entretien Dublin) ou pas (mémoire de recours) ne sont pas déterminantes. En outre, les allégations de violences faites au stade du recours, tardives, sommaires et en rien étayées ne convainquent pas. Il sied en particulier de relever que lors de son entretien Dublin, l'intéressé a expressément déclaré ne pas avoir été frappé par la police croate, en réponse à une question de sa mandataire. Enfin et surtout, les allégations de l'intéressé ne sont pas décisives quant à la conformité de son transfert au regard des dispositions précitées, dès lors qu'il n'existe aucune raison concrète et sérieuse d'admettre que son transfert à Zagreb (cf. acceptation de l'Unité Dublin croate) risquerait de l'exposer à une situation similaire à celle qu'il dit avoir connue après son interpellation, en tant que personne étrangère en situation irrégulière. Cela dit, si le recourant devait, à l'issue de son transfert en Croatie, être contraint par les circonstances à mener une existence non conforme à la dignité humaine, ou s'il devait estimer que cet Etat ne respecte pas les directives européennes en matière d'asile, viole ses obligations d'assistance à son encontre ou de toute autre manière porte atteinte à ses droits fondamentaux, il lui appartiendrait de faire valoir ses droits directement auprès des autorités de ce pays et éventuellement de s'adresser, en cas de besoin, à la CourEDH (cf. arrêt du TAF F-1543/2018 du 19 mars 2018 consid. 6.2 ainsi que art. 26 Directive Accueil).</w:t>
      </w:r>
    </w:p>
    <w:p>
      <w:r>
        <w:rPr>
          <w:b/>
        </w:rPr>
        <w:t>E. 6.5</w:t>
      </w:r>
    </w:p>
    <w:p>
      <w:r>
        <w:t>L'état de santé de l'intéressé, qui a déclaré ne pas avoir de problème particulier, ne saurait s'opposer à son transfert. Celui-ci ne l'allègue d'ailleurs pas.</w:t>
      </w:r>
    </w:p>
    <w:p>
      <w:r>
        <w:rPr>
          <w:b/>
        </w:rPr>
        <w:t>E. 6.6</w:t>
      </w:r>
    </w:p>
    <w:p>
      <w:r>
        <w:t>Par conséquent, le transfert du recourant vers la Croatie n'est pas contraire aux obligations découlant de dispositions conventionnelles auxquelles la Suisse est liée.</w:t>
      </w:r>
    </w:p>
    <w:p>
      <w:r>
        <w:rPr>
          <w:b/>
        </w:rPr>
        <w:t>E. 6.7</w:t>
      </w:r>
    </w:p>
    <w:p>
      <w:r>
        <w:t>Il y a en outre lieu de constater que le SEM a établi de manière complète et exacte l'ensemble des faits pertinents pour l'examen de la question et n'a commis ni excès ni abus de son pouvoir d'appréciation, qui est large, en refusant d'admettre l'existence de raisons humanitaires au sens de l'art. 29a al. 3 OA 1, en combinaison avec l'art. 17 par. 1 du règlement Dublin III (cf. ATAF 2015/9 consid. 8).</w:t>
      </w:r>
    </w:p>
    <w:p>
      <w:r>
        <w:rPr>
          <w:b/>
        </w:rPr>
        <w:t>E. 6.8</w:t>
      </w:r>
    </w:p>
    <w:p>
      <w:r>
        <w:t>Il convient encore de rappeler que ledit règlement ne confère pas aux demandeurs d'asile le droit de choisir l'Etat membre offrant, à leur avis, les meilleures conditions d'accueil comme Etat responsable de l'examen de leur demande d'asile (cf. ATAF 2010/45 consid. 8.3).</w:t>
      </w:r>
    </w:p>
    <w:p>
      <w:r>
        <w:rPr>
          <w:b/>
        </w:rPr>
        <w:t>E. 7</w:t>
      </w:r>
    </w:p>
    <w:p>
      <w:r>
        <w:t>C'est ainsi à bon droit que l'autorité inférieure n'est pas entrée en matière sur la demande d'asile de l'intéressé, en application de l'art. 31a al. 1 let. b LAsi, et a prononcé son transfert de Suisse vers la Croatie. Par conséquent, le recours doit être rejeté.</w:t>
      </w:r>
    </w:p>
    <w:p>
      <w:r>
        <w:rPr>
          <w:b/>
        </w:rPr>
        <w:t>E. 8.1</w:t>
      </w:r>
    </w:p>
    <w:p>
      <w:r>
        <w:t>Comme relevé, l'intéressé demande l'assistance judiciaire « totale », mais indique uniquement ne pas pouvoir faire face aux frais de la procédure, ne requérant pas le soutien d'un mandataire d'office. Il a d'ailleurs déposé un recours complet et ne prétend aucunement avoir été empêché d'exposer tous ses arguments. Sa demande doit donc être considérée comme une demande d'assistance judiciaire partielle. Celle-ci devrait être rejetée et les frais de procédure être mis à la charge de l'intéressé, dès lors que les conclusions du recours sont aujourd'hui dénuées de chances de succès et que les conditions cumulatives de l'art. 65 al. 1 PA ne sont ainsi plus réalisées, indépendamment de l'indigence du recourant (cf. art. 63 al. 1 PA et art. 2 et 3 let. a du règlement du 21 février 2008 concernant les frais, dépens et indemnités fixés par le Tribunal administratif fédéral (FITAF, RS 173.320.2).</w:t>
      </w:r>
    </w:p>
    <w:p>
      <w:r>
        <w:rPr>
          <w:b/>
        </w:rPr>
        <w:t>E. 8.2</w:t>
      </w:r>
    </w:p>
    <w:p>
      <w:r>
        <w:t>Compte tenu de la particularité du cas et du fait qu'au moment du dépôt du recours celui-ci n'était pas voué à l'échec, il est cependant renoncé à la perception des frais de procédure (cf. art. 6 let. b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