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E-4179/2011 vom 31. Mai 2012</w:t>
      </w:r>
    </w:p>
    <w:p>
      <w:r>
        <w:t>Bundesverwaltungsgericht, 2012-05-31, DE</w:t>
      </w:r>
    </w:p>
    <w:p>
      <w:r>
        <w:rPr>
          <w:b/>
        </w:rPr>
        <w:t xml:space="preserve">Quelle: </w:t>
      </w:r>
      <w:r>
        <w:t>https://mcp.opencaselaw.ch/entscheid/bvger_E-4179_2011</w:t>
      </w:r>
    </w:p>
    <w:p>
      <w:r>
        <w:t>FR: TAF E-4179/2011 du 31 mai 2012</w:t>
      </w:r>
    </w:p>
    <w:p>
      <w:r>
        <w:t>IT: TAF E-4179/2011 del 31 maggio 2012</w:t>
      </w:r>
    </w:p>
    <w:p>
      <w:pPr>
        <w:pStyle w:val="Heading2"/>
      </w:pPr>
      <w:r>
        <w:t>Regeste</w:t>
      </w:r>
    </w:p>
    <w:p>
      <w:r>
        <w:t>Asylgesuch aus dem Ausland und Einreisebewilligung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des Bundesgerichtsgesetzes vom 17. Juni 2005 [BGG, SR 173.110]). Ein solches Auslieferungsersuchen steht in casu nicht zur Diskussion; somit ist das Bundesverwaltungsgericht vorliegend letztinstanzlich zuständig.</w:t>
      </w:r>
    </w:p>
    <w:p>
      <w:r>
        <w:rPr>
          <w:b/>
        </w:rPr>
        <w:t>E. 1.2</w:t>
      </w:r>
    </w:p>
    <w:p>
      <w:r>
        <w:t>Die Verfügung des BFM wurde in Bern via die Schweizer Botschaft in Khartum am 30. Mai 2011 an den Beschwerdeführer versandt. Gemäss der Begleitnotiz des BFM vom 26. Juli 2011 an das Bundesverwaltungsgericht liegt dem Bundesamt keine Empfangsbestätigung vor, weshalb der genaue Zeitpunkt der Eröffnung der angefochtenen Verfügung folglich nicht feststeht. Die Beweislast für die erfolgte Zustellung und deren Zeitpunkt trägt die Behörde, welche die Zustellung veranlasst hat (vgl. Felix Uhlmann/Alexandra Schwank, in: Bernhard Waldmann/Philippe Weissenberger [Hrsg.], Praxiskommentar VwVG, Zürich/Basel/Genf 2009, Art. 34, N 10). Angesichts der fehlenden Empfangsbestätigung ist zu Gunsten des Beschwerdeführers von einer rechtzeitig eingereichten Beschwerde auszugehen. Demnach ist die Beschwerde frist- und formge­recht eingereicht. Der Beschwerdeführer hat ferner am Verfahren vor der Vorinstanz teilgenommen, ist durch die angefochtene Verfügung besonders berührt und hat ein schutzwürdiges Interesse an deren Aufhebung beziehungsweise Änderung und ist daher zur Einreichung der Beschwerde legitimiert (Art. 108 AsylG sowie Art. 105 AsylG i.V.m. Art. 37 VGG und Art. 48 Abs. 1 und 52 VwVG). Auf die Beschwerde ist mithin einzutreten.</w:t>
      </w:r>
    </w:p>
    <w:p>
      <w:r>
        <w:rPr>
          <w:b/>
        </w:rPr>
        <w:t>E. 1.3</w:t>
      </w:r>
    </w:p>
    <w:p>
      <w:r>
        <w:t>Die Beschwerde ist in englischer Sprache und somit nicht in einer Amtssprache des Bundes abgefasst. Auf die Ansetzung einer Frist zur Beschwerdeverbesserung oder auf die Einholung einer Übersetzung kann indessen aus prozessökonomischen Gründen praxisgemäss verzichtet werden, da der Eingabe des Beschwerdeführers genügend klare, sinngemässe Rechtsbegehren und deren Begründung zu entnehmen sind und ohne Weiteres - die zu beurteilende Sachlage ist rechtsgenüglich erstellt - darüber befunden werden kann.</w:t>
      </w:r>
    </w:p>
    <w:p>
      <w:r>
        <w:rPr>
          <w:b/>
        </w:rPr>
        <w:t>E. 1.4</w:t>
      </w:r>
    </w:p>
    <w:p>
      <w:r>
        <w:t>Das Verfahren richtet sich nach dem VwVG, soweit das VGG und das AsylG nichts anderes bestimmen (Art. 37 VGG und Art. 6 AsylG).</w:t>
      </w:r>
    </w:p>
    <w:p>
      <w:r>
        <w:rPr>
          <w:b/>
        </w:rPr>
        <w:t>E. 1.5</w:t>
      </w:r>
    </w:p>
    <w:p>
      <w:r>
        <w:t>Gestützt auf Art. 111a Abs. 1 AsylG wurde vorliegend auf die Durchführung eines Schriftenwechsels verzichtet.</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Vorab ist festzustellen, dass sich die angefochtene Verfügung des BFM vom 30. Mai 2011 zwar an den Beschwerdeführer und seine Ehefrau richtet. Beim in der angefochtenen Verfügung aufgeführten angeblichen Namen der Ehefrau des Beschwerdeführers, D._______, handelt es sich allerdings nicht um deren Vor- und Nachnamen, sondern vielmehr um ein Quartier in Khartum (vgl. Eingabe des Beschwerdeführers vom 12. Januar 2011, in welcher er ausführt, mit seiner Ehefrau in D._______, Khartum zu leben, A10/3 S. 2).</w:t>
      </w:r>
    </w:p>
    <w:p>
      <w:r>
        <w:rPr>
          <w:b/>
        </w:rPr>
        <w:t>E. 3.2</w:t>
      </w:r>
    </w:p>
    <w:p>
      <w:r>
        <w:t>Im Übrigen ist festzuhalten, dass die angefochtene Verfügung ange­sichts des im Entscheidzeitpunkts vorliegenden Abklärungsstandes in Be­zug auf die Ehefrau des Beschwerdeführers gar nicht hätte ergehen dürfen. In seinem zur Publikation vorgesehenen Urteil BVGE E 3162/2011 vom 6. Dezember 2011 hielt das Bundesverwaltungsgericht nämlich fest, dass sich zwar gemäss Art. 11 Abs. 1 VwVG eine Partei, wenn sie nicht persönlich zu handeln hat, auf jeder Stufe des Verfahrens vertreten lassen kann; als Einschränkung sind jedoch Verfahrenshandlungen von der Möglichkeit der Vertretung ausgenommen, die eine persönliche Mitwirkung des oder der Vertretenen erfordern, entweder weil es gesetzlich vorgeschrieben ist (na­mentlich die Anhörung zu den Asylgründen nach Art. 29 AsylG) oder weil die Verfahrenshandlungen der Natur der Sache nach nur von ihm beziehungsweise von ihr ausge­hen können. Gemäss langjähriger asylrechtlicher Praxis gilt die Einrei­chung eines Asylgesuches als sogenannt "relativ höchstpersönliches Recht" (vgl. Entscheidungen und Mitteilungen der Schweizerischen Asylrekurskommission [EMARK] 1996 Nr. 5). Die Initiierung eines Asylver­fahrens aus dem Ausland durch die urteilsfähige (mündige oder un­mündige) Person setzt prinzipiell einen persönlichen Antrag derselben voraus. Fehlt ein solcher, ist eine Mangelbehebung indes nicht zwangsläufig ausgeschlossen. Eine Heilung kann beispielsweise dadurch erfolgen, dass der Inhalt eines vertretungsweise eingereichten Asylgesuchs anlässlich einer mündlichen Anhörung oder durch Einreichung einer persönlich verfassten oder zumindest unterzeichneten Stellungnahme zum Fragenkatalog des BFM im Falle des Verzichts auf eine Befragung bestätigt wird (vgl. zum Ganzen BVGE E 3162/2011, a.a.O., E. 4.3.2). Im vorliegenden Fall ist die Ehefrau des Beschwerdeführers im ganzen bisherigen Verfahren - und insbesondere im erstinstanzlichen Verfahren - nie in irgendeiner Weise persönlich vor einer schweizerischen Asylbehörde im In- oder Ausland aufgetreten, weshalb für das Bundesverwaltungsgericht nicht feststeht, ob sie jemals beabsichtigte, ein Asylgesuch einzureichen. Folglich hätte die angefochtene Verfügung in Bezug auf die Ehefrau des Beschwerdeführers nicht ergehen dürfen, da auch keine Heilung im oben angeführten Sinne erfolgt ist.</w:t>
      </w:r>
    </w:p>
    <w:p>
      <w:r>
        <w:rPr>
          <w:b/>
        </w:rPr>
        <w:t>E. 3.3</w:t>
      </w:r>
    </w:p>
    <w:p>
      <w:r>
        <w:t>Nach dem Gesagten betreffen sowohl das vorinstanzliche Verfahren als auch das Beschwerdeverfahren lediglich den Beschwerdeführer. Die Verfügung des BFM vom 30. Mai 2011 betreffend "D._______", geboren am (...), ist folglich aufzuheben und es ist festzustellen, dass die Ehefrau des Beschwerdeführers unter ihrem richtigen Namen (C._______, geboren am [...]) bis dato kein Asylgesuch in der Schweiz eingereicht und kein Asylverfahren in der Schweiz durchlaufen hat.</w:t>
      </w:r>
    </w:p>
    <w:p>
      <w:r>
        <w:rPr>
          <w:b/>
        </w:rPr>
        <w:t>E. 4.1</w:t>
      </w:r>
    </w:p>
    <w:p>
      <w:r>
        <w:t>Gemäss Art. 19 Abs. 1 AsylG kann ein Asylgesuch im Ausland bei einer schweizerischen Vertretung gestellt werden, welche es mit einem Bericht an das Bundesamt überweist (Art. 20 Abs. 1 AsylG). Die schweizerische Vertretung führt mit der asylsuchenden Person in der Regel eine Befragung durch (Art. 10 Abs. 1 der Asylverordnung 1 vom 11. August 1999 über Verfahrensfragen [AsylV 1, SR 142.311]). Ist dies nicht möglich, so wird die asylsuchende Person von der Vertretung aufgefordert, ihre Asylgründe schriftlich festzuhalten (Art. 10 Abs. 2 AsylV 1). Die schweizerische Vertretung überweist dem Bundesamt das Befragungsprotokoll oder das schriftliche Asylgesuch sowie weitere zweckdienliche Unterlagen und einen ergänzenden Bericht, der ihre Beurteilung des Asylgesuchs enthält (Art. 10 Abs. 3 AsylV 1).</w:t>
      </w:r>
    </w:p>
    <w:p>
      <w:r>
        <w:rPr>
          <w:b/>
        </w:rPr>
        <w:t>E. 4.2</w:t>
      </w:r>
    </w:p>
    <w:p>
      <w:r>
        <w:t>Vorliegend sah sich die Botschaft in Khartum nicht in der Lage, eine persönliche Anhörung des Beschwerdeführers durchzuführen. Das BFM begründete diesen Verzicht in der Verfügung vom 30. Mai 2011 mit dem begrenzten Personalbestand der Botschaft sowie den fehlenden Voraussetzungen im sicherheitstechnischen und räumlichen Bereich. Das BFM ersuchte den Beschwerdeführer daraufhin mit Schreiben vom 14. Dezember 2010 zur Einreichung einer ergänzenden Stellungnahme zwecks Vervollständigung des rechtserheblichen Sachverhaltes. Er nahm in der Folge mit Eingabe vom 12. Januar 2011 ausführlich zu den gestellten Fragen Stellung. Vorliegend erhielt der Beschwerdeführer somit rechtsgenügend Gelegenheit, seine Asylgründe darzulegen und bei der Erhebung und Ergänzung des massgebenden Sachverhalts mitzuwirken.</w:t>
      </w:r>
    </w:p>
    <w:p>
      <w:r>
        <w:rPr>
          <w:b/>
        </w:rPr>
        <w:t>E. 5.1</w:t>
      </w:r>
    </w:p>
    <w:p>
      <w:r>
        <w:t>Das Bundesamt kann ein im Ausland gestelltes Asylgesuch ablehnen, wenn die asylsuchende Person keine Verfolgung glaubhaft machen kann oder ihr die Aufnahme in einem Drittstaat zugemutet werden kann (vgl. Art. 3, Art. 7 und Art. 52 Abs. 2 AsylG). Nach Art. 20 Abs. 2 AsylG bewilligt das Bundesamt einer asylsuchenden Person die Einreise in die Schweiz zur Abklärung des Sachverhaltes, wenn ihr nicht zugemutet werden kann, im Wohnsitz- oder Aufenthaltsstaat zu bleiben oder in ein anderes Land auszureisen (vgl. BVGE 2007/19 E. 3.2; 2011/10 E. 3). Bei diesem Entscheid sind die Voraussetzungen zur Erteilung einer Einreisebewilligung grundsätzlich restriktiv zu umschreiben, wobei den Behörden ein weiter Ermessensspielraum zukommt. Ausschlaggebend für die Erteilung der Einreisebewilligung ist dabei die Schutzbedürftigkeit der betroffenen Personen (vgl. EMARK 1997 Nr. 15 E. 2c S. 130), mithin die Prüfung der Fragen, ob eine Gefährdung im Sinne von Art. 3 AsylG glaubhaft gemacht wird und ob der Verbleib am Aufenthaltsort für die Dauer der Sachverhaltsabklärung zugemutet werden kann (vgl. BVGE 2011/10 E. 3.3, mit weiteren Hinweisen). Hält sich eine asylsuchende Person bereits in einem Drittstaat auf, ist zwar im Sinne der Vermutung davon auszugehen, die betreffende Person habe in diesem Drittstaat bereits Schutz vor Verfolgung gefunden oder könne ihn dort erlangen, weshalb auch anzunehmen ist, es sei ihr zuzumuten, dort zu verbleiben beziehungsweise sich dort um Aufnahme zu bemühen. Diese Vermutung kann sich jedoch sowohl in Bezug auf die Schutzgewährung durch den Drittstaat (vgl. EMARK 2005 Nr. 19 E. 5.1 S. 176 f.) wie auch auf die Zumutbarkeit der Inanspruchnahme des Schutzes im Drittstaat als unzutreffend erweisen. Es ist deshalb zu prüfen, ob die asylsuchende Person im Drittstaat Schutz vor Verfolgung gefunden hat oder erlangen kann, was in der Regel zur Ablehnung des Asylgesuchs und zur Verweigerung der Einreisebewilligung führt. In jedem Fall sind die Kriterien zu prüfen, welche die Zufluchtnahme in diesem Drittstaat als zumutbar erscheinen lassen, und diese sind mit einer allfälligen Beziehungsnähe zur Schweiz abzuwägen. Bei dieser Abwägung bildet die besondere Beziehungsnähe der asylsuchenden Person zur Schweiz ein zentrales, wenn auch nicht das einzige Kriterium (vgl. BVGE 2011/10 E. 5.1, mit weiteren Hinweisen). Zu berücksichtigen sind ausserdem die Beziehungsnähe zum Drittstaat (oder zu anderen Staaten) sowie die voraussichtlichen Eingliederungs- und Assimilationsmöglichkeiten in der Schweiz beziehungsweise im Drittstaat (oder in anderen Staaten). Allein die Tatsache, dass die asylsuchende Person keine besondere Beziehungsnähe zur Schweiz hat, ist deshalb für die Ablehnung des Asylgesuches nicht ausschlaggebend (vgl. EMARK 1997 Nr. 15 E. 2f. S. 131 f.). Hält sich die asylsuchende Person in einem Drittstaat auf, ist die Einreise in die Schweiz beispielsweise zu bewilligen, wenn der Drittstaat keine hinreichende Gewähr für ein ordentliches Asylverfahren bietet und eine Abschiebung in den Heimatstaat nicht ausgeschlossen erscheint, auch wenn eine Beziehungsnähe der asylsuchenden Person zur Schweiz fehlt (vgl. EMARK 2005 Nr. 19 E. 4.3 S. 174 f.). Umgekehrt führt der Umstand, dass eine Beziehungsnähe zur Schweiz namentlich aufgrund von hier ansässigen nahen Familienangehörigen gegeben ist, nicht zur Erteilung einer Einreisebewilligung, wenn aufgrund einer Abwägung mit anderen Kriterien der Verbleib im Drittstaat objektiv als zumutbar zu erachten ist.</w:t>
      </w:r>
    </w:p>
    <w:p>
      <w:r>
        <w:rPr>
          <w:b/>
        </w:rPr>
        <w:t>E. 6.1</w:t>
      </w:r>
    </w:p>
    <w:p>
      <w:r>
        <w:t>Vorliegend gelangt das Bundesverwaltungsgericht in Übereinstimmung mit dem BFM zum Schluss, dass die geltend gemachten Vorbringen des Beschwerdeführers nicht a priori unglaubhaft erscheinen und darauf schliessen lassen, dass er in Eritrea ernstzunehmende Schwierigkeiten mit den heimatlichen Behörden gehabt hat. Ob er wegen seines Verhaltens nach seiner Freilassung bei einer allfälligen Rückkehr nach Eritrea einer flüchtlingsrechtlich relevanten Gefährdung ausgesetzt sein könnte, kann vorliegend dennoch offen gelassen werden, da er den zusätzlichen Schutz der Schweiz gemäss Art. 52 Abs. 2 AsylG nicht benötigt, weil es ihm - wie im Nachfolgenden aufzuzeigen sein wird - trotz der zugestandenermassen nicht einfachen Bedingungen für eritreische Flüchtlinge im Sudan zuzumuten ist, dort zu verbleiben.</w:t>
      </w:r>
    </w:p>
    <w:p>
      <w:r>
        <w:rPr>
          <w:b/>
        </w:rPr>
        <w:t>E. 6.2</w:t>
      </w:r>
    </w:p>
    <w:p>
      <w:r>
        <w:t>Der Beschwerdeführer befindet sich eigenen Angaben zufolge seit 2007 in Khartum. Aufgrund des - zwar lediglich in Kopie vorliegenden - Flüchtlingsausweises ist davon auszugehen, dass er durch das UNHCR als Flüchtling registriert worden ist. Als Besitzer eines Flüchtlingsausweises verfügt er über die erforderliche temporäre Aufenthaltsbewilligung im Sudan und geniesst weitgehend Schutz vor einer Abschiebung nach Eritrea. Obgleich unlängst von vorkommenden Deportationen von Eritreern in den Heimatstaat berichtet wurde (vgl. Urteil des Bundesverwaltungsgerichts E 6004/2011 vom 25. April 2012 mit weiteren Hinweisen, sowie UNHCR "UNHCR deeply concerned by deportation of Eritreans from Sudan", vom 26. Juli 2011), ist gleichwohl gemäss gesicherten Erkenntnissen das Risiko einer Verschleppung für Eritreer, die im Sudan vom UNHCR als Flüchtlinge anerkannt sind, gering, da die sudanesischen Behörden zwar tatsächlich teilweise eritreische Asylsuchende sowie Flüchtlinge deportieren, diese Rückführungen indessen nicht flächendeckend erfolgen (vgl. statt vieler Urteil des Bundesverwaltungsgerichts D 6054/2011 vom 24. April 2012). Den Akten sind denn auch keine Hinweise zu entnehmen, die auf ein besonderes Profil des Beschwerdeführers, mit anderen Worten ein Profil einer Person, an deren Auslieferung die eritreische Regierung besonders interessiert wäre, schliessen liessen, selbst wenn er eigenen Angaben zufolge während seiner Tätigkeit in Eritrea mit Ausländern Kontakt hatte. Sodann ist, wenngleich nicht abzusprechen ist, dass die Lebensbedingungen in Khartum nicht einfach sind, nicht anzunehmen, dass der Beschwerdeführer, aufgrund einer schlechten Erfahrung mit einer Privatperson als Arbeitgeber, den Lebensunterhalt für sich und seine Ehefrau nicht bestreiten könne, zumal davon auszugehen ist, dass ihm seine Berufserfahrung als [Tätigkeit] zu einer Anstellung und Integration auf dem Arbeitsmarkt verhelfen wird respektive bereits verholfen hat. Im Übrigen spricht der Umstand, dass er eigenen Angaben zufolge bereits seit fünf Jahren im Sudan lebt, für die Möglichkeit, für seinen Lebensunterhalt dort aufzukommen. Schliesslich ist festzustellen, dass, wie vom BFM zu Recht festgehalten wurde, der Beschwerdeführer über keine in der Schweiz lebenden Angehörigen verfügt. Demnach sind die Voraussetzungen für einen Familiennachzug aufgrund fehlender in der Schweiz lebender Familienangehörigen nicht erfüllt, weshalb Art. 51 AsylG vorliegend nicht zur Anwendung kommt.</w:t>
      </w:r>
    </w:p>
    <w:p>
      <w:r>
        <w:rPr>
          <w:b/>
        </w:rPr>
        <w:t>E. 6.3</w:t>
      </w:r>
    </w:p>
    <w:p>
      <w:r>
        <w:t>Aufgrund dieser Argumentation erscheint es für den Beschwerdeführer objektiv zumutbar, den im Sudan gegenüber einer allfälligen Verfolgungsgefahr in seinem Heimatstaat bestehenden Schutz weiterhin in Anspruch zu nehmen. Eine Schutzgewährung durch die Schweiz erscheint somit unter Berücksichtigung aller wesentlichen Umstände, welche mit dem Aufenthalt des Beschwerdeführers im Sudan und seinem dortigen Status als vom UNHCR registrierten Flüchtling verbunden sind, nicht erforderlich. Zusammenfassend ergibt sich, dass das BFM zu Recht und mit zutreffender Begründung feststellte, eine Abwägung der Gesamtumstände im Sinne von Art. 52 Abs. 2 AsylG führe zum Schluss, dass dem Beschwerdeführer ein Verbleib im Sudan zuzumuten ist. Unter diesen Umständen hat das Bundesamt zu Recht die Erteilung der Einreisebewilligung verweigert und das Asylgesuch abgelehnt.</w:t>
      </w:r>
    </w:p>
    <w:p>
      <w:r>
        <w:rPr>
          <w:b/>
        </w:rPr>
        <w:t>E. 7</w:t>
      </w:r>
    </w:p>
    <w:p>
      <w:r>
        <w:t>Aus diesen Erwägungen ergibt sich, dass die angefochtene Verfügung - soweit den Beschwerdeführer betreffend - Bundesrecht nicht verletzt, den rechtserheblichen Sachverhalt richtig und vollständig feststellt und angemessen ist (Art. 106 AsylG). Die Beschwerde ist nach dem Gesagten abzuweisen. Soweit die Ehefrau des Beschwerdeführers, unter unrichtigem Namen erfasst, betreffend, ist die Verfügung demgegenüber aufzuheben.</w:t>
      </w:r>
    </w:p>
    <w:p>
      <w:r>
        <w:rPr>
          <w:b/>
        </w:rPr>
        <w:t>E. 8</w:t>
      </w:r>
    </w:p>
    <w:p>
      <w:r>
        <w:t>Bei diesem Ausgang des Verfahrens wären die Kosten grundsätzlich dem Beschwerdeführer aufzuerlegen (Art. 63 Abs. 1 VwVG). Aus verwaltungsökonomischen Gründen sowie in Anwendung von Art. 63 Abs. 1 in fine VwVG und Art. 6 Bst. b des Reglements vom 21. Februar 2008 über die Kosten und Entschädigungen vor dem Bundesverwaltungsge­richt (VGKE, SR 173.320.2) ist indessen auf die Erhebung der Verfah­renskosten zu verzichten.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