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E-4175/2012 vom 22. August 2012</w:t>
      </w:r>
    </w:p>
    <w:p>
      <w:r>
        <w:t>Bundesverwaltungsgericht, 2012-08-22, DE</w:t>
      </w:r>
    </w:p>
    <w:p>
      <w:r>
        <w:rPr>
          <w:b/>
        </w:rPr>
        <w:t xml:space="preserve">Quelle: </w:t>
      </w:r>
      <w:r>
        <w:t>https://mcp.opencaselaw.ch/entscheid/bvger_E-4175_2012</w:t>
      </w:r>
    </w:p>
    <w:p>
      <w:r>
        <w:t>FR: TAF E-4175/2012 du 22 août 2012</w:t>
      </w:r>
    </w:p>
    <w:p>
      <w:r>
        <w:t>IT: TAF E-4175/2012 del 22 agosto 2012</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unter Vorbehalt nachfolgender Erwägungen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fest, der Abgleich der Fingerabdrücke mit der Zentraleinheit Eurodac habe nachgewiesen, dass der Beschwerdeführer am 30. August 2011 in Italien ein Asylgesuch eingereichte. Die italienischen Behörden hätten innerhalb der festgelegten Frist zum Übernahmeersuchen keine Stellung genommen hätten. Die Zuständigkeit zur Durchführung des Asyl- und Wegweisungsverfahrens liege deshalb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bei Italien.</w:t>
      </w:r>
    </w:p>
    <w:p>
      <w:r>
        <w:rPr>
          <w:b/>
        </w:rPr>
        <w:t>E. 3.3</w:t>
      </w:r>
    </w:p>
    <w:p>
      <w:r>
        <w:t>Der Beschwerdeführer macht geltend, es lägen Anhaltspunkte vor, dass ihm bei Überstellung nach Italien eine Kettenabschiebung in den Sudan drohe (Art. 3 EMRK), es bestehe kein wirksames Rechtsmittel zum Schutz vor Verletzung des Non-Refoulement-Gebotes (Art. 13 EMRK), und das Asylverfahren Italiens weise systematische Mängel auf. Ausserdem habe die Vorinstanz eine ungenügende Sachverhaltsabklärung vorgenommen und dadurch den Untersuchungsgrundsatz verletzt.</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w:t>
      </w:r>
    </w:p>
    <w:p>
      <w:r>
        <w:rPr>
          <w:b/>
        </w:rPr>
        <w:t>E. 4.3.1</w:t>
      </w:r>
    </w:p>
    <w:p>
      <w:r>
        <w:t>Entgegen der Ansicht des Beschwerdeführers bestehen keine konkreten Hinweise dafür, dass Italien sich nicht an die internationalen Verpflichtungen hält. Italien ist Signatarstaat der FK, EMRK und FoK. Unter dem Dublin-System besteht die Vermutung, dass alle Mitgliedstaaten bzw. staatsvertraglich assoziierten Staaten die Rechte der EMRK garantieren und die Zuständigkeitsordnung selbst ein EMRK-konformes Ergebnis liefert. Die generelle Vermutung kann nur umgestossen werden, wenn aufgrund allgemein anerkannten Quellen zur Menschenrechtssituation und der Medien bekannt ist, dass der zuständige Staat nicht mehr in der Lage oder willens ist, seine internationalen Verpflichtungen im Asylverfahren nachzukommen (Urteil des Europäischen Gerichtshof für Menschenrechtsgericht [EGMR] M.S.S. versus Belgien und Griechenland vom 21. Januar 2011, Rz. 192). Ausserdem müssten stichhaltige Gründe für die Annahme vorliegen, dass der Grundrechtsträger- im Fall einer Überstellung - konkret einer reellen und ernsthaften Gefahr einer grundrechtswidrigen Behandlung ausgesetzt wäre (vgl. EGMR, a.a.O., Rz. 342). Weder das eine noch das andere lässt sich hier annehmen. Die vom Beschwerdeführer angesprochenen Kapazitätsengpässe allein genügen jedenfalls nicht, um die generelle Vermutung umzustossen, und er selber führt an, dass Italien sich um die Unterbringung und Betreuung von Dublin-Rückkehrern besonders bemühe.</w:t>
      </w:r>
    </w:p>
    <w:p>
      <w:r>
        <w:rPr>
          <w:b/>
        </w:rPr>
        <w:t>E. 4.3.2</w:t>
      </w:r>
    </w:p>
    <w:p>
      <w:r>
        <w:t>Die Rüge, es bestehe kein wirksamer Rechtsschutz in Italien, ist unbegründet. Der Beschwerdeführer behauptet, die italienischen Flüchtlingsstelle habe während des Asylverfahrens mit den sudanesischen Behörden Kontakt aufgenommen, was jedoch eine durch nichts belegte Behauptung bleibt. Ebenso wenig legt er dar, weshalb es ihm nicht zumutbar sein soll, den Instanzenzug in Italien zu beschreiten. Den Akten lassen sich keine Anhaltspunkte dafür entnehmen, dass der Beschwerdeführer ungeprüft nach Sudan abgeschoben würde. Dass er bereits einmal erfolglos in Italien ein Asylverfahren durchlaufen hat, führt zu keinem anderen Ergebnis. Italien bleibt weiterhin zuständig und der Beschwerdeführer hat sich an die italienischen Behörden zu wenden, weil das "one-chance-only-Prinzip" gilt (Filzwieser/Sprung, Dublin-II-Verordnung, 3. Aufl., Wien 2010, K6 zu Art. 3)</w:t>
      </w:r>
    </w:p>
    <w:p>
      <w:r>
        <w:rPr>
          <w:b/>
        </w:rPr>
        <w:t>E. 4.3.3</w:t>
      </w:r>
    </w:p>
    <w:p>
      <w:r>
        <w:t>Soweit der Beschwerdeführer rügt, die Vorinstanz habe den Untersuchungsgrundsatz verletzt, indem sie ihn nicht ausdrücklich nach seinen Gesuchsgründen gefragt haben, ist auf die Beschwerde nicht einzutreten. Beim Dublin-System geht es erst um die Bestimmung des für die Prüfung eines Asylantrages zuständigen Staates. Der Beschwerdegrund der unvollständigen Sachverhaltsfeststellung kann daher lediglich in Bezug auf die Zuständigkeit, nicht aber bezüglich des Asylantrages in der Sache angerufen werden. Dementsprechend war die Vorinstanz auch nicht verpflichtet, den Beschwerdeführer nach seinen inhaltlichen Gründen zu befragen. Sie hat ihm das rechtliche Gehör zur Überstellung gewährt und in diesem Rahmen hatte er hinreichend Gelegenheit, sich zu allfälligen Zuständigkeitshindernissen zu äussern. Die Vorinstanz ist zutreffend von der Zuständigkeit Italiens ausgegangen und in Anwendung von Art. 34 Abs. 2 Bst. d AsylG zu Recht auf das Asylgesuch nicht eingetreten.</w:t>
      </w:r>
    </w:p>
    <w:p>
      <w:r>
        <w:rPr>
          <w:b/>
        </w:rPr>
        <w:t>E. 5</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Im Rahmen des Dublin-Verfahrens, bei dem es sich um ein Überstellungsverfahren handelt, bleibt systembedingt kein Raum für Ersatzmassnahmen im Sinne von Art. 44 Abs. 2 AsylG i.V.m. Art. 83 Abs. 3 und 4 AuG (vgl. BVGE 2010/45 E. 10.2). Eine entsprechende Prüfung, soweit notwendig, findet bereits im Rahmen des Nichteintretensentscheides statt. Die Vorinstanz hat den Vollzug der Wegweisung in diesem Sinne daher zu Recht als zulässig, zumutbar und möglich bezeichnet.</w:t>
      </w:r>
    </w:p>
    <w:p>
      <w:r>
        <w:rPr>
          <w:b/>
        </w:rPr>
        <w:t>E. 7</w:t>
      </w:r>
    </w:p>
    <w:p>
      <w:r>
        <w:t>Nach dem Gesagten ergibt sich, dass die angefochtene Verfügung Bundesrecht nicht verletzt und auch sonst nicht zu beanstanden ist (vgl. Art. 106 Abs. 1 AsylG). Die Beschwerde ist abzuweisen.</w:t>
      </w:r>
    </w:p>
    <w:p>
      <w:r>
        <w:rPr>
          <w:b/>
        </w:rPr>
        <w:t>E. 8</w:t>
      </w:r>
    </w:p>
    <w:p>
      <w:r>
        <w:t>Bei diesem Ausgang des Verfahrens hat der Beschwerdeführer die Kosten des vorliegenden Verfahrens zu tragen (Art. 63 Abs. 1 VwVG), die auf Fr. 600.- festzusetzen sind (Art. 1 - 3 des Reglements vom 21. Februar 2008 über die Kosten und Entschädigungen vor dem Bundesverwaltungsgericht [VGKE, SR 173.320.2]). Dem Gesuch um Gewährung der unentgeltlichen Prozessführung und Rechtsverbeiständung kann nicht stattgeben werden, weil das Parteibegehren im Sinne von Art. 65 Abs. 1 VwVG als aussichtslos zu gelten hat. Die übrigen Anträge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