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E-4171/2006 vom 1. Juli 2009</w:t>
      </w:r>
    </w:p>
    <w:p>
      <w:r>
        <w:t>Bundesverwaltungsgericht, 2009-07-01, DE</w:t>
      </w:r>
    </w:p>
    <w:p>
      <w:r>
        <w:rPr>
          <w:b/>
        </w:rPr>
        <w:t xml:space="preserve">Quelle: </w:t>
      </w:r>
      <w:r>
        <w:t>https://mcp.opencaselaw.ch/entscheid/bvger_E-4171_2006</w:t>
      </w:r>
    </w:p>
    <w:p>
      <w:r>
        <w:t>FR: TAF E-4171/2006 du 1 juillet 2009</w:t>
      </w:r>
    </w:p>
    <w:p>
      <w:r>
        <w:t>IT: TAF E-4171/2006 del 1 luglio 2009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darauf eingetreten wird.</w:t>
      </w:r>
    </w:p>
    <w:p>
      <w:r>
        <w:rPr>
          <w:b/>
        </w:rPr>
        <w:t>E. 2</w:t>
      </w:r>
    </w:p>
    <w:p>
      <w:r>
        <w:t>Die Verfügung des BFM vom 30. Juni 2005 wird aufgehoben und die Sache zur rechtsgenüglichen Sachverhaltserstellung und materiellen Neubeurteilung an das BFM zurückgewiesen.</w:t>
      </w:r>
    </w:p>
    <w:p>
      <w:r>
        <w:rPr>
          <w:b/>
        </w:rPr>
        <w:t>E. 3</w:t>
      </w:r>
    </w:p>
    <w:p>
      <w:r>
        <w:t>Im Sinne einer vorsorglichen Massnahme bleibt der Wegweisungsvollzug bis zu einem allfällig anders lautenden Entscheid des BFM ausgesetzt.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Das BFM wird angewiesen, den Beschwerdeführenden eine Parteientschädigung von Fr. 2'095.- zu entrichten.</w:t>
      </w:r>
    </w:p>
    <w:p>
      <w:r>
        <w:rPr>
          <w:b/>
        </w:rPr>
        <w:t>E. 6</w:t>
      </w:r>
    </w:p>
    <w:p>
      <w:r>
        <w:t>Das Urteil geht an den Rechtsvertreter der Beschwerdeführenden,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