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E-4170/2021 vom 22. September 2021</w:t>
      </w:r>
    </w:p>
    <w:p>
      <w:r>
        <w:t>Bundesverwaltungsgericht, 2021-09-22, DE</w:t>
      </w:r>
    </w:p>
    <w:p>
      <w:r>
        <w:rPr>
          <w:b/>
        </w:rPr>
        <w:t xml:space="preserve">Quelle: </w:t>
      </w:r>
      <w:r>
        <w:t>https://mcp.opencaselaw.ch/entscheid/bvger_E-4170_2021</w:t>
      </w:r>
    </w:p>
    <w:p>
      <w:r>
        <w:t>FR: TAF E-4170/2021 du 22 septembre 2021</w:t>
      </w:r>
    </w:p>
    <w:p>
      <w:r>
        <w:t>IT: TAF E-4170/2021 del 22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4</w:t>
      </w:r>
    </w:p>
    <w:p>
      <w:r>
        <w:t>Die Zuständigkeit Österreichs zur Durchführung des Asyl- und Wegweisungsverfahrens ist gestützt auf Art. 18 Abs. 1 Bst. d Dublin-III-VO grundsätzlich gegeben und wird vom Beschwerdeführer auch nicht bestritten.</w:t>
      </w:r>
    </w:p>
    <w:p>
      <w:r>
        <w:rPr>
          <w:b/>
        </w:rPr>
        <w:t>E. 5</w:t>
      </w:r>
    </w:p>
    <w:p>
      <w:r>
        <w:t>Das Bundesverwaltungsgericht hat keinen Grund zur Annahme, das Asylverfahren und die Aufnahmebedingungen in Österreich wiesen für Personen in der Situation des Beschwerdeführers systemische Mängel im Sinne von Art. 3 Abs. 2 Sätze 2 und 3 Dublin-III-VO auf (vgl. dazu anstelle vieler Urteile des BVGer F-1346/2021 vom 1. April 2021 E. 5.1 und F-4030/2020 vom 18. August 2020 E. 4.3 und E. 4.4). Etwas Anderes wird vom Beschwerdeführer auch nicht geltend gemacht. Folglich bestand für die Vor-instanz kein Anlass zur Übernahme der Zuständigkeit gestützt auf die genannte Bestimmung.</w:t>
      </w:r>
    </w:p>
    <w:p>
      <w:r>
        <w:rPr>
          <w:b/>
        </w:rPr>
        <w:t>E. 6</w:t>
      </w:r>
    </w:p>
    <w:p>
      <w:r>
        <w:t>Es bleibt zu prüfen, ob die Vorinstanz trotz der grundsätzlichen Zuständigkeit Österreichs das Selbsteintrittsrecht nach Art. 17 Abs. 1 erster Satz Dublin-III-VO, konkretisiert in Art. 29a Abs. 3 AsylV 1, hätte ausüben müssen.</w:t>
      </w:r>
    </w:p>
    <w:p>
      <w:r>
        <w:rPr>
          <w:b/>
        </w:rPr>
        <w:t>E. 6.1</w:t>
      </w:r>
    </w:p>
    <w:p>
      <w:r>
        <w:t>Der Beschwerdeführer macht geltend, er habe in Österreich bereits zwei negative rechtskräftige Asylentscheide erhalten. Bei einer Überstellung nach Österreich würde ihm daher eine Abschiebung in seine Heimat drohen, was gravierende Konsequenzen für ihn hätte, zumal er dort grosse Probleme habe und ihm eine Verfolgung drohe. Weiter seien die Hürden in Österreich für eine erneute Prüfung seiner Asylgründe angesichts der bereits abgelehnten Gesuche extrem hoch. Entgegen der Auffassung der Vor-instanz würde eine Überstellung ebenfalls bedeuten, dass er einzig Nothilfe erhalten würde und seine medizinischen Beschwerden kaum adäquat abgeklärt und behandelt würden.</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w:t>
      </w:r>
    </w:p>
    <w:p>
      <w:r>
        <w:rPr>
          <w:b/>
        </w:rPr>
        <w:t>E. 6.3</w:t>
      </w:r>
    </w:p>
    <w:p>
      <w:r>
        <w:t>Auch ist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6.4</w:t>
      </w:r>
    </w:p>
    <w:p>
      <w:r>
        <w:t>Zwar kann die Vermutung, Österreich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6.5</w:t>
      </w:r>
    </w:p>
    <w:p>
      <w:r>
        <w:t>Die Ausführungen des Beschwerdeführers genügen diesen Anforderungen offensichtlich nicht. Der Beschwerdeführer hat kein konkretes und ernsthaftes Risiko dafür dargetan, dass sich Österreich im Falle einer Überstellung weigern könnte, ihn wiederaufzunehmen oder ihm in Bezug auf Unterbringung und Betreuung die ihm zustehenden minimalen völkerrechtlichen Ansprüche zu gewähren. Den Akten sind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Vollständigkeit halber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Österreich gemäss Akten nicht zu einer Kettenabschiebung, welche gegen das Non-Refoulement-Prinzip verstossen würde, wie es in Art. 33 FK verankert ist (und sich ausserdem aus Art. 4 der EU-Grundrechtecharta, Art. 3 EMRK oder Art. 3 FoK ableiten lässt). Auch wenn das Asylverfahren in Österreich bereits rechtskräftig abgeschlossen ist, obliegt es den dortigen Behörden, den weiteren Aufenthalt bis zu einem allfälligen Wegweisungsvollzug beziehungsweise einer anderen ausländerrechtlichen Regelung im Einklang mit den völkerrechtlichen Verpflichtungen zu regeln (vgl. Urteile des BVGer F-1346/2021 vom 1. April 2021 E. 6.3.3; F-1186/2021 vom 24. März 2021 E. 5.4; F-658/2020 vom 14. Februar 2020 E. 6.4; F-6848/2019 vom 10. Januar 2020 E. 7.3).</w:t>
      </w:r>
    </w:p>
    <w:p>
      <w:r>
        <w:rPr>
          <w:b/>
        </w:rPr>
        <w:t>E. 6.6</w:t>
      </w:r>
    </w:p>
    <w:p>
      <w:r>
        <w:t>Der Beschwerdeführer macht geltend, sein Gesundheitszustand stehe einer Überstellung entgegen; das SEM habe den medizinischen Sachverhalt ungenügend abgeklärt.</w:t>
      </w:r>
    </w:p>
    <w:p>
      <w:r>
        <w:rPr>
          <w:b/>
        </w:rPr>
        <w:t>E. 6.6.1</w:t>
      </w:r>
    </w:p>
    <w:p>
      <w:r>
        <w:t>Rechtsprechungsgemäss stellt die zwangsweise Rückführung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6.6.2</w:t>
      </w:r>
    </w:p>
    <w:p>
      <w:r>
        <w:t>Eine solche Situation ist vorliegend nicht gegeben. Anlässlich des Dublin-Gesprächs gab der Beschwerdeführer an, abgesehen von (...) keine gesundheitlichen Probleme zu haben (vgl. SEM-Akten 1105454-12/2). Das SEM hat dennoch bei der Pflege des BAZ Informationen zum Gesundheitszustand und allfälligen Behandlungen des Beschwerdeführers eingeholt. Gemäss Auskunft der Pflege hat sich der Beschwerdeführer bis zum 14. September 2021 - bis auf ein einmaliges Vorsprechen in B._______ aufgrund von (...) - nie bei der Pflege gemeldet und auch keine Medikamente erhalten (vgl. SEM-Akten 1105454-26/1). Gegenteiliges wurde von der Rechtsvertretung - die dem Beschwerdeführer bis zum Entscheid des SEM zur Seite gestanden hat - nicht geltend gemacht. Die Vorinstanz hat damit dem Gesundheitszustand des Beschwerdeführers ausreichend Rechnung getragen und war auch nicht zu weiteren Abklärungen verpflichtet. Die auf Beschwerdeebene vorgebrachten psychischen Belastungen werden nicht näher erläutert oder dokumentiert. Insgesamt ist nicht ersichtlich, dass aufgrund der gesundheitlichen Situation sich eine Überstellung als unzulässig erweisen würde oder aus humanitären Gründen davon abgesehen werden müsste.</w:t>
      </w:r>
    </w:p>
    <w:p>
      <w:r>
        <w:rPr>
          <w:b/>
        </w:rPr>
        <w:t>E. 6.6.3</w:t>
      </w:r>
    </w:p>
    <w:p>
      <w:r>
        <w:t>Soweit der Beschwerdeführer geltend macht, er werde in Österreich keine adäquate medizinische Versorgung erhalten, ist festzuhalten,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österreichischen Behörden vorgängig in geeigneter Weise über die spezifischen medizinischen Umstände informieren (vgl. Art. 31 f. Dublin-III-VO).</w:t>
      </w:r>
    </w:p>
    <w:p>
      <w:r>
        <w:rPr>
          <w:b/>
        </w:rPr>
        <w:t>E. 6.7</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8.1</w:t>
      </w:r>
    </w:p>
    <w:p>
      <w:r>
        <w:t>Die Beschwerde ist aus den dargelegten Gründen abzuweisen und die Verfügung der Vorinstanz ist zu bestätigen.</w:t>
      </w:r>
    </w:p>
    <w:p>
      <w:r>
        <w:rPr>
          <w:b/>
        </w:rPr>
        <w:t>E. 8.2</w:t>
      </w:r>
    </w:p>
    <w:p>
      <w:r>
        <w:t>Mit dem vorliegenden Urteil fällt der am 20. September 2021 angeordnete Vollzugsstopp dahin. Das Gesuch um Erteilung der aufschiebenden Wirkung ist gegenstandslos geworden.</w:t>
      </w:r>
    </w:p>
    <w:p>
      <w:r>
        <w:rPr>
          <w:b/>
        </w:rPr>
        <w:t>E. 8.3</w:t>
      </w:r>
    </w:p>
    <w:p>
      <w:r>
        <w:t>Die Gesuche um Gewährung der unentgeltlichen Prozessführung und der amtlichen Rechtsverbeiständung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