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E-4168/2025 vom 12. März 2026</w:t>
      </w:r>
    </w:p>
    <w:p>
      <w:r>
        <w:t>Bundesverwaltungsgericht, 2026-03-12, DE</w:t>
      </w:r>
    </w:p>
    <w:p>
      <w:r>
        <w:rPr>
          <w:b/>
        </w:rPr>
        <w:t xml:space="preserve">Quelle: </w:t>
      </w:r>
      <w:r>
        <w:t>https://mcp.opencaselaw.ch/entscheid/bvger_E-4168_2025</w:t>
      </w:r>
    </w:p>
    <w:p>
      <w:r>
        <w:t>FR: TAF E-4168/2025 du 12 mars 2026</w:t>
      </w:r>
    </w:p>
    <w:p>
      <w:r>
        <w:t>IT: TAF E-4168/2025 del 12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das Grundsatzurteil des Bundesverwaltungsgerichts D-4601/2025 vom 9. Februar 2026 (zur Publikation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w:t>
      </w:r>
    </w:p>
    <w:p>
      <w:r>
        <w:t>In formeller Hinsicht wird in der Beschwerde geltend gemacht, die angefochtene Verfügung sei auch deshalb rechtswidrig, weil die Wegweisungsverfügung keine Androhung von Zwangsmitteln im Unterlassungsfall enthalte und somit mangelhaft sei. Diesbezüglich ist zunächst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der Beschwerdeführenden zu vollziehen, da das SEM die irischen Behörden nicht um Rückübernahme der Beschwerdeführenden ersucht hat (vgl. dazu nachstehende E. 6.3). Damit bestand bisher keine ausreichende Grundlage für die Anordnung von Zwangsmassnahmen zur Durchsetzung der Ausreisepflicht der Beschwerdeführenden und folglich auch kein Anlass, ihnen solche anzudrohen. Der Umstand, dass das SEM den Beschwerdeführenden im Rahmen der Wegweisungsverfügung keine Zwangsmassnahmen angedroht hat für den Fall, dass sie ihrer Ausreisepflicht nicht nachkommen, ist daher nicht zu beanstanden. Somit besteht kein Anlass, die angefochtene Verfügung aus formellen Gründen aufzuheben und die Sache an die Vorinstanz zurückzuweisen. Der entsprechende Eventualantrag ist folglich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Urteil des Bundesverwaltungsgerichts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Die Beschwerdeführenden sind ukrainische Staatsangehörige und haben vor dem 24. Februar 2022 in der Ukraine gewohnt. Sie fallen somit grundsätzlich unter Bst. a der Allgemeinverfügung. Jedoch hielten sie sich den Akten zufolge vom Sommer 2022 bis Juli 2024 in Irland auf und verfügten eigenen Angaben zufolge über einen irischen Schutzstatus für Geflüchtete aus der Ukraine (vgl. A1, A12).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Urteil des BVGer D-4601/2025 vom 9. Februar 2026 E. 6.2.2). Damit besteht ein hinreichender Anknüpfungspunkt in Irland.</w:t>
      </w:r>
    </w:p>
    <w:p>
      <w:r>
        <w:rPr>
          <w:b/>
        </w:rPr>
        <w:t>E. 6.2</w:t>
      </w:r>
    </w:p>
    <w:p>
      <w:r>
        <w:t>In Anbetracht der Aktenlage ist zwar davon auszugehen, dass die Beschwerdeführenden aktuell über keinen gültigen irischen Schutztitel respektive eine darauf basierende Aufenthaltsbewilligung (mehr) verfügen. Irland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siehe auch Department of Justice, Home Affairs and Migration, Informationen zum vorübergehenden Schutz für Menschen, die vor dem Konflikt in der Ukraine fliehen, https://www.irishimmigration.ie/de/information-on-temporary-protection-for-people-fleeing-the-conflict-in-ukraine/, abgerufen am 9. März 2026). Es kann daher davon ausgegangen werden, dass die Beschwerdeführenden bei einer Rückkehr nach Irland ihren abgelaufenen Schutzstatus reaktivieren oder zumindest erneut erfolgreich um Schutz ersuchen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2026 E. 6.2.3). Demnach besteht auch kein Grund zur Annahme, dass sich die (erfolglose) Antragsstellung in der Schweiz bei einer erneuten Schutzsuche in Irland für die Beschwerdeführenden nachteilig auswirken wird (vgl. zu diesem Thema auch das EuGH-Urteil vom 27. Februar 2025 in der Sache C-753/23 [Krasiliva]). Insgesamt kann demnach mit hinreichender Gewissheit festgestellt werden, dass Irland den Beschwerdeführenden im Falle ihrer Rückkehr dorthin erneut vorübergehenden Schutz gewähren und ihnen einen entsprechenden Aufenthaltstitel ausstellen wird.</w:t>
      </w:r>
    </w:p>
    <w:p>
      <w:r>
        <w:rPr>
          <w:b/>
        </w:rPr>
        <w:t>E. 6.3</w:t>
      </w:r>
    </w:p>
    <w:p>
      <w:r>
        <w:t>Daran ändert auch der Umstand nichts, dass das SEM die irischen Behörden nicht um Rückübernahme der Beschwerdeführenden ersucht hat und folglich auch keine Rückübernahmezusicherung der irischen Behörden vorliegt. Als Inhaber von gültigen ukrainischen Reisepässen können die Beschwerdeführenden visumsfrei zwischen den Schengen-Staaten herumreisen und auch visumsfrei in Irland einreisen (vgl. Department of Justice, Home Affairs and Migration, FAQs - for Ukraine Nationals and Residents of Ukraine, https://www.irishimmigration.ie/faqs-for-ukraine-nationals-and-residents-of-ukraine/, abgerufen am 9. März 2026). Somit können sie ohne weiteres selbständig von der Schweiz nach Irland zurückkehren beziehungsweise legal in Irland einreisen.</w:t>
      </w:r>
    </w:p>
    <w:p>
      <w:r>
        <w:rPr>
          <w:b/>
        </w:rPr>
        <w:t>E. 6.4</w:t>
      </w:r>
    </w:p>
    <w:p>
      <w:r>
        <w:t>Das SEM hat demnach zutreffend festgestellt, dass die Beschwerdeführenden in Irland über eine valable Schutzalternative verfügen und damit nicht auf den Schutz der Schweiz angewiesen sind.</w:t>
      </w:r>
    </w:p>
    <w:p>
      <w:r>
        <w:rPr>
          <w:b/>
        </w:rPr>
        <w:t>E. 6.5</w:t>
      </w:r>
    </w:p>
    <w:p>
      <w:r>
        <w:t>Nach dem Gesagten hat das SEM das Gesuch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Irland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Beschwerdeführenden haben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Irland dort mit beachtlicher Wahrscheinlichkeit (d.h. im Sinne eines «real risk»; vgl. dazu EGMR [Grosse Kammer], Saadi gegen Italien, Urteil vom 28. Februar 2008, Beschwerde Nr. 37201/06, §§ 124 - 127, m.w.H.) einer nach Art. 3 EMRK oder Art. 1 FoK verbotenen Strafe oder Behandlung ausgesetzt wären. Irland ist Signatarstaat der EMRK, der FoK und der FK sowie des Zusatzprotokolls der FK vom 31. Januar 1967 (SR 0.142.301) und kommt seinen diesbezüglichen völkerrechtlichen Verpflichtungen grundsätzlich nach. Die Beschwerdeführenden haben denn auch nichts Gegenteiliges dargetan. Der - bei ausbleibender freiwilliger Ausreise allenfalls zukünftig erforderliche - Vollzug der Wegweisung nach Irland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bei einer Rückkehr nach Irland dort in eine existenzielle Notlage geraten werden. Dabei wird ihnen zum Vorteil gereichen, dass sie über Englischkenntnisse verfügen und in Irland bereits arbeitstätig gewesen sind (vgl. die eingereichten Arbeitsbestätigungen). Ausserdem war es ihnen bereits einmal möglich, eine eigene Mietwohnung zu finden und es kann angenommen werden, dass ihnen dies erneut gelingen wird. Bei Bedarf gibt es zudem Unterstützungsmöglichkeiten (vgl. Department of Justice, Home Affairs and Migration, Press release, Accommodation for people fleeing the war in Ukraine, https://www.gov.ie/en/department-of-justice-home-affairs-and-migration/press-releases/changes-to-accommodation-for-people-fleeing-war-in-ukraine/, abgerufen am 9. März 2026). Ungeachtet dessen, dass sie in Irland ihren Aussagen zufolge keine kirchliche Gemeinschaft in der Nähe gefunden hätten und sich in der Schweiz um Integration bemühen, ist der Vollzug der Wegweisung nach Irland somit als zumutbar zu erachten. Auch vermögen sie aus der Anwesenheit der Eltern des Beschwerdeführers in der Schweiz nichts zu ihren Gunsten abzuleiten, zumal kein Abhängigkeitsverhältnis geltend gemacht wird.</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das Urteil des BVGer D-4810/2025 vom 9. Februar 2026 E. 8.4.2, m.w.H.) Wie bereits vorstehend festgehalten (vgl. E. 5.3), können die Beschwerdeführenden als Inhaber eines gültigen ukrainischen Reisepasses ohne weiteres in Irland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wären die Kosten den Beschwerdeführenden aufzuerlegen (Art. 63 Abs. 1 VwVG). Da die Beschwerde jedoch im Zeitpunkt der Beschwerdeerhebung nicht als aussichtslos zu bezeichnen war und die Beschwerdeführenden gemäss der eingereichten Fürsorgebestätigung bedürftig sind, ist das Gesuch um unentgeltliche Rechtspflege gemäss Art. 65 Abs. 1 VwVG gutzuheissen. Demnach sind keine Verfahrenskosten aufzuerlegen.</w:t>
      </w:r>
    </w:p>
    <w:p>
      <w:r>
        <w:rPr>
          <w:b/>
        </w:rPr>
        <w:t>E. 11.1</w:t>
      </w:r>
    </w:p>
    <w:p>
      <w:r>
        <w:t>In Verfahren wie dem vorliegenden wird auf Antrag der schutzsuchenden Person, die von der Bezahlung der Verfahrenskosten befreit wurde, grundsätzlich eine amtliche Rechtsbeiständin oder einen amtlichen Rechtsbeistand bestellt (Art. 72 i.V.m. Art. 102m Abs. 1 Bst. d AsylG). Somit ist auch das Gesuch um Beiordnung einer amtlichen Rechtsverbeiständung gutzuheissen und die Rechtsvertreterin, welche die persönlichen Voraussetzungen gemäss Art. 102m Abs. 3 AsylG i.V.m. Art. 53 der Asylverordnung 1 über Verfahrensfragen vom 11. August 1999 (AsylV 1, SR 142.311) erfüllt, antragsgemäss als amtliche Rechtsbeiständin einzusetzen.</w:t>
      </w:r>
    </w:p>
    <w:p>
      <w:r>
        <w:rPr>
          <w:b/>
        </w:rPr>
        <w:t>E. 11.2</w:t>
      </w:r>
    </w:p>
    <w:p>
      <w:r>
        <w:t>Der Rechtsbeiständin ist für ihre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Rechtsbeiständin hat in ihrer Kostennote vom 10. Juni 2025 ein Honorar von total Fr. 644.50. (inkl. Auslagen von Fr. 7.-) ausgewiesen. Der ausgewiesene zeitliche Aufwand von 4 Stunden und 15 Minuten und der Stundenansatz von Fr. 150. sind als angemessen zu bezeichnen. Der amtlichen Rechtsvertreterin ist daher zu Lasten des Bundesverwaltungsgerichts ein Honorar von Fr. 644.50.-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