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E-4165/2011 vom 29. Mai 2012</w:t>
      </w:r>
    </w:p>
    <w:p>
      <w:r>
        <w:t>Bundesverwaltungsgericht, 2012-05-29, FR</w:t>
      </w:r>
    </w:p>
    <w:p>
      <w:r>
        <w:rPr>
          <w:b/>
        </w:rPr>
        <w:t xml:space="preserve">Quelle: </w:t>
      </w:r>
      <w:r>
        <w:t>https://mcp.opencaselaw.ch/entscheid/bvger_E-4165_2011</w:t>
      </w:r>
    </w:p>
    <w:p>
      <w:r>
        <w:t>FR: TAF E-4165/2011 du 29 mai 2012</w:t>
      </w:r>
    </w:p>
    <w:p>
      <w:r>
        <w:t>IT: TAF E-4165/2011 del 29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Walter Stöckli, Asyl, in: Uebersax/Rudin/Hugi Yar/ Geiser [éd.], Ausländerrecht, Handbücher für die Anwaltspraxis, vol. VIII, Bâle 2009, p. 567 s., n° 11.148 s.; Minh Son Nguyen, Droit public des étrangers, Berne 2003, p. 507 ss; Walter Kälin, Grundriss des Asylverfahrens, Bâle/Francfort-sur-le-Main 1990, p. 302 ss).</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2010/44 consid. 3.3). En ce sens, doivent être prises en considération les conditions existant dans le pays d'origine au moment de la décision sur la demande d'asile, respectivement sur le recours interjeté contre un refus d'asile, mais non les déductions ou les intentions du candidat à l'asile (cf. Samuel Werenfels, Der Begriff des Flüchtlings im schweizerischen Asylrecht, Berne 1987, p. 298 ; Haut Commissariat des Nations Unies pour les Réfugiés, Guide des procédures et critères à appliquer pour déterminer le statut de réfugié, Genève 1992, no 42, p. 13).</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ATAF 2008/34 consid. 7.1, ATAF 2008/12 consid. 5.1).</w:t>
      </w:r>
    </w:p>
    <w:p>
      <w:r>
        <w:rPr>
          <w:b/>
        </w:rPr>
        <w:t>E. 3.1</w:t>
      </w:r>
    </w:p>
    <w:p>
      <w:r>
        <w:t>En l'occurrence, le Tribunal relève que, dans son ensemble, le récit de l'intéressé n'est pas vraisemblable.</w:t>
      </w:r>
    </w:p>
    <w:p>
      <w:r>
        <w:rPr>
          <w:b/>
        </w:rPr>
        <w:t>E. 3.2</w:t>
      </w:r>
    </w:p>
    <w:p>
      <w:r>
        <w:t>En effet, selon les déclarations de l'intéressé lors de sa première audition, force est de constater qu'à aucun moment, il n'a mentionné avoir été arrêté, emprisonné ou avoir subi de mauvais traitements. Il a certes précisé avoir fait l'objet de contrôles de la part de la police et de l'armée lors de son départ de F._______ mais il n'a fait nul état d'une quelconque interpellation. Il a même indiqué que lors de son arrivée à Colombo, l'armée, ignorant qu'il était recherché, n'aurait fait que contrôler ses bagages (cf. procès-verbal d'audition du 28 mars 2009, p. 13 i.f.). Or, au cours de sa seconde audition, le recourant a présenté un tout autre récit, et, à l'inverse du premier, particulièrement détaillé sur les difficultés qu'il aurait rencontrées à partir du mois d'août 2006. Ainsi, selon ses déclarations du 2 avril 2009, il aurait été arrêté à quatre reprises : deux fois en 2008, soit par l'armée et par les EPDP, une nouvelle fois par la police au début de l'année 2009 (cf. procès-verbal d'audition du 2 avril 2009, p. 5 et 6) et enfin, une dernière fois, à Colombo, le (...) mars 2009, par une unité spéciale de la police. S'il avait été effectivement emprisonné à quatre reprises, une telle omission de la part de l'intéressé, sur des éléments aussi importants, génère de sérieux doutes quant à l'exactitude des faits allégués.</w:t>
      </w:r>
    </w:p>
    <w:p>
      <w:r>
        <w:rPr>
          <w:b/>
        </w:rPr>
        <w:t>E. 3.3</w:t>
      </w:r>
    </w:p>
    <w:p>
      <w:r>
        <w:t>Quant aux conditions de sa libération, le récit du recourant ne convainc pas. Ainsi, il ne s'avère pas plausible qu'en raison des seules supplications de son épouse et de sa belle-mère, l'intéressé ait, après trois jours, été libéré, alors qu'il aurait été soupçonné d'appartenir aux LTTE. Il n'est pas crédible non plus que les EPDP, une organisation paramilitaire proche du gouvernement, l'aient interpellé, une semaine plus tard, pour le même motif, qu'ils l'aient ensuite relâché après une semaine mais que, dans le même temps, ils aient essayé de le recruter. En outre, il n'est pas crédible non plus que lors de sa présence à F._______, son logeur ait versé, à plusieurs reprises, des pots-de-vin à la police afin d'éviter son arrestation et que sans motif apparent, celle-ci procède, en janvier 2009, à son arrestation et qu'elle le relâche, après un jour d'emprisonnement. Enfin, il n'est pas plausible qu'il ait été à nouveau arrêté le 10 mars 2009, par une unité spéciale de la police et qu'il ait pu, cette fois-ci encore, être libéré, après un jour, en échange d'une somme d'argent. La facilité avec laquelle l'intéressé a pu sortir des griffes de ses geôliers n'est pas crédible. Le Tribunal relève que les propos stéréotypés et inconsistants du recourant sur ce point manquent de vraisemblance.</w:t>
      </w:r>
    </w:p>
    <w:p>
      <w:r>
        <w:rPr>
          <w:b/>
        </w:rPr>
        <w:t>E. 3.4</w:t>
      </w:r>
    </w:p>
    <w:p>
      <w:r>
        <w:t>Quant aux déclarations du recourant relatives à son départ du Sri Lanka pour la Suisse, elles ne s'avèrent pas vraisemblables non plus. En effet, il n'est pas crédible que l'intéressé ait pu transiter à Dubaï, à l'aide d'un document non officiel établi par son passeur (cf. procès-verbal du 28 mars 2009, p. 9). Il ne s'avère pas plausible non plus qu'à sa descente d'avion à (...), il ait pu présenter un passeport jaune ou orange lors du contrôle douanier (cf. procès-verbal du 28 mars 2009, p. 14) ou qu'il ait pu, depuis un vol en provenance de R._______, franchir ledit contrôle avec un passeport indien au nom de "Q._______", alors que, selon les informations obtenues sur ce point, le vol de (...) en provenance de R._______ n'avait, à son bord, aucun passager portant le nom indiqué par le recourant et que la place mentionnée par l'intéressé était vide (cf. procès-verbal du 2 avril 2009, p. 15). Les deux versions relatives à son arrivée en Suisse sont aussi peu crédibles l'une que l'autre. A cet égard, le Tribunal relève que, malgré le fait que l'ODM ait attiré l'attention du recourant sur ce point, celui-ci s'est obstiné à maintenir sa version des faits. Partant, toutes ces déclarations incitent à penser que l'intéressé dissimule les vraies circonstances et motivations de sa venue en Suisse.</w:t>
      </w:r>
    </w:p>
    <w:p>
      <w:r>
        <w:rPr>
          <w:b/>
        </w:rPr>
        <w:t>E. 3.5</w:t>
      </w:r>
    </w:p>
    <w:p>
      <w:r>
        <w:t>Concernant les pièces produites par le recourant, le Tribunal relève les éléments suivants : s'agissant du document portant l'en-tête "Sri Lanka Red Cross Society" et datée du 28 août 2009, force est de constater que ce document, établi à la demande du recourant, ne mentionne nullement par qui, quand et comment les faits évoqués ont été constatés ; de surcroît, cette pièce fait état d'une "enquête" (inquiry) remontant au (...) janvier 2007, effectuée par des inconnus, alors que selon ses propres déclarations, l'intéressé aurait été arrêté et emprisonné à cette période par les EPDP (cf. procès-verbal du 2avril 2009, p. 5). Cette pièce ne saurait dès lors avoir la valeur probante que lui attribue le recourant. Concernant la pièce à l'en-tête du "Diocese of Jaffna Srilanka" (sic), datée du (...) août 2009, le Tribunal doute de son authenticité : en premier lieu, il n'est pas crédible que le recourant, de religion hindoue, fréquente des lieux de culte catholique et qu'il puisse ainsi connaître, personnellement, l'évêque du Diocèse de Jaffna ; en deuxième lieu, le texte de cette attestation présente, en certains passages, un libellé quasi identique au premier document examiné ; en troisième et dernier lieu, il n'est pas crédible que l'évêque, auteur désigné de ce document, ne sache pas orthographier correctement son propre nom. Ce document ne saurait ainsi être retenu comme pièce probante. Quant aux autres attestations, soit notamment celle du (...) juin 2011 à l'en-tête d'un dénommé "S._______" (Justice of the peace) ainsi que celle du 2 juillet 2011 à l'en-tête d'un dénommé "T._______", le Tribunal relève que ces deux documents n'ont, en eux-mêmes, pas de valeur probante dans la mesure où ils ont été rédigés à la seule demande de l'intéressé.</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compte tenu du manque de vraisemblance de son récit (ainsi que de l'évolution de la situation intervenue depuis son départ),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Dans son arrêt de principe E-6220/2006,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raisonnablement exigible dans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7.3</w:t>
      </w:r>
    </w:p>
    <w:p>
      <w:r>
        <w:t>En l'espèce, le recourant aurait vécu, selon ses déclarations, en plusieurs endroits différents, soit principalement à C._______ (District de P._______) et à D._______ (District de Jaffna). A teneur de ses propos, son épouse vivrait à D._______, avec leurs (...) enfants, dans la maison de son père. Conformément à l'arrêt de principe précité, l'exécution du renvoi en cette région est considérée comme raisonnablement exigible (cf. ATAF 6220/2006 consid. 13.3). De surcroît, l'intéressé dispose toujours, dans cette région, d'un important réseau familial et social. En outre, il doit être admis que sa belle-famille a les moyens de l'aider, à tout le moins dans un premier temps, à se loger et à lui assurer le minimum nécessaire pour subvenir à ses propres besoins. Ainsi, on peut considérer que, malgré les difficultés inhérentes à un retour dans son pays d'origine, le recourant pourra à nouveau compter sur le soutien de ses proches.</w:t>
      </w:r>
    </w:p>
    <w:p>
      <w:r>
        <w:rPr>
          <w:b/>
        </w:rPr>
        <w:t>E. 7.4</w:t>
      </w:r>
    </w:p>
    <w:p>
      <w:r>
        <w:t>En outre, il ne ressort du dossier aucun autre élément dont on pourrait inférer que l'exécution du renvoi impliquerait une mise en danger concrète du recourant. Celui-ci n'a pas allégué souffrir de problèmes de santé particuliers. Il est dans la force de l'âge et apte à travailler. Il bénéficie également d'une expérience professionnelle comme cultivateur, soit autant de facteurs devant lui permettre de se réinstaller à D._______, sans rencontrer de difficultés excessives.</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Celui-ci a toutefois demandé à en être dispensé, en raison de son indigence. Dès lors qu'au moment de son dépôt, le recours n'apparaissait pas d'emblée dénué de chances de succès, celle-ci est admise (cf. art. 65 al. 1 LPA). Partant, il est renoncé à la perception de frais de procédure. (dispositif :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