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E-4163/2015 vom 26. Mai 2016</w:t>
      </w:r>
    </w:p>
    <w:p>
      <w:r>
        <w:t>Bundesverwaltungsgericht, 2016-05-26, DE</w:t>
      </w:r>
    </w:p>
    <w:p>
      <w:r>
        <w:rPr>
          <w:b/>
        </w:rPr>
        <w:t xml:space="preserve">Quelle: </w:t>
      </w:r>
      <w:r>
        <w:t>https://mcp.opencaselaw.ch/entscheid/bvger_E-4163_2015</w:t>
      </w:r>
    </w:p>
    <w:p>
      <w:r>
        <w:t>FR: TAF E-4163/2015 du 26 mai 2016</w:t>
      </w:r>
    </w:p>
    <w:p>
      <w:r>
        <w:t>IT: TAF E-4163/2015 del 26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Voraussetzungen an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Vorbringen nicht von Asylrelevanz und welche Aussagen unglaubhaft ausgefallen sind. Die Rechtsmitteleingabe erschöpft sich in spärlichen Rechtfertigungsversuchen, womit sie nicht aufzeigt, inwiefern die vorinstanzliche Beweiswürdigung Bundesrecht verletzen oder zu einer rechtsfehlerhaften Sachverhaltsfeststellung führen soll. Solches ist auch nicht ersichtlich. So steht im Zentrum der Fluchtgeschichte die Konversion zum Christentum im Iran. Am Anfang der Überzeugung steht jedoch ein Wunder, das derart weit hergeholt scheint, dass der Fluchtgeschichte bereits hiermit der Boden entzogen ist. So will die Beschwerdeführerin - nach zwei Jahren starken Schmerzen und nach ärztlicher Konsultation für einen operativen Eingriff zur Entfernung der Gebärmutter bereits angemeldet - aufgrund einer nur fünfzehnminütigen Lesung aus dem Matthäusevangelium komplett geheilt worden sein. Das erinnert an ihren Exmann, der angeblich ein ähnliches Wunder erlebte, als seine Tochter nach einer Fürbitte eines christlichen Freundes von ihrer Taubheit geheilt wurde. Dass bei dieser Art von Krankheitsbildern derart physische, unmittelbare und wiederholte Erfolge auszuschliessen sind, versteht sich von selbst. Auch inhaltlich wiederspricht sich der Vorgang des Wunders. So soll gemäss Erstbefragung die Freundin die Beschwerdeführerin gebeten haben, sich hinzulegen. Nach dem Schliessen der Augen, soll ihre Freundin aus dem Matthäusevangelium vorgelesen haben, woraufhin das Wunder eintrat (SEM-Akten, A11, S. 7). Gemäss Zweitbefragung habe die Freundin die Gebete Rabbani vorgetragen und dann mit der Beschwerdeführerin Verse ausgesprochen, wonach das Wunder bei Kerzenlicht geschehen sei (SEM-Akten, A48, S. 7). Infolge Unglaubhaftigkeit des Wunders ist auf die erst anlässlich der Zweitbefragung geltend gemachten Probleme mit den Nachbarn, deren Tochter ähnliche gesundheitliche Probleme gehabt haben soll, nicht weiter einzugehen (SEM-Akten, A48, S. 9). Im Übrigen ist der Vorinstanz darin beizupflichten, dass die Beschwerdeführerin zwar quantitativ viel sagt, aber inhaltlich nicht die ihr gegebenen Möglichkeiten ergreift, um vertiefte Inhalte oder - neben dem am Anfang stehenden Wunder und der Tugend des Verzeihens - eigene Überzeugungen und Wissen zum Christentum kundzutun. Weiter gibt die Beschwerdeführerin in den Befragungen an, es sei ihre Shenanasmeh bei der Hausdurchsuchung beschlagnahmt worden (SEM-Akten, A11, S. 5, F.4.03 und A48, S. 11, F63). Dem Vorwurf der Vorinstanz, sie habe diese jedoch beim zuständigen Standesamt in der Schweiz vorgelegt, stellt sie auf Beschwerdeebene nichts entgegen. Bereits der Umstand, dass die Behörden nur in Abwesenheit der Beschwerdeführerin bei ihr eingetroffen sein sollen und sie in der langen Zeit zwischen Entstehung der angeblichen Probleme und ihrer Ausreise keinen konkreten Kontakt mit den Leuten, die sie angeblich suchen, gehabt haben soll, ist ebenso stereotyp. Auch soll nach der Ausreise die Familie weiterhin belästigt worden sein, die Beschwerdeführerin weiss aber nicht von wem. Aus diesem Grund soll die ganze Familie umgezogen und seither nicht mehr belästigt worden sein (SEM-Akten, A48, S. 18 f.). Wären es tatsächlich die Behörden, so wäre zu erwarten, dass sich diese einerseits in all diesen Jahren zu erkennen gegeben und andererseits nicht aufgrund eines Domizilwechsels innerhalb des Landes mit der Suche aufgehört hätten. Weiter ist nicht glaubhaft, dass sich die Beschwerdeführerin einerseits vorsichtig verhält und von den Gefahren weiss und sich andererseits gerade auf Facebook oder via Skype vertieft über das Christentum unterhalten haben soll. Ihre Erklärungsversuche hierzu zeugen von Unsicherheit (SEM-Akten, A48, S. 18). Sodann will sie ihre Recherchen über das Christentum auf Google getätigt haben, erinnert sich aber an keinerlei entsprechende Internetseiten (SEM-Akten, A48, S. 17). Aufgrund einer Vermittlung via Deutschland übers Internet, will sie einen Herrn kennengelernt haben, der zu spät zum Treffen im Iran erschienen sein soll, weil die iranischen Behörden sein Haus durchsuchten; von diesem sei sie vor Problemen gewarnt worden, weil er ihre Nummer auf seinem Handy gespeichert habe. Selbst diese Ausführung zeugt von einer konstruierten Fluchtgeschichte. Den Ausführungen in der Zweitbefragung kann ohnehin nicht dieselbe Beweiskraft wie denjenigen in der Erstbefragung zugemessen werden, fand diese doch statt, nachdem das Asylgesuch ihres damaligen Ehemannes - mit demselben Vorbringen: Konversion zum Christentum im Iran und Taufe in der Schweiz - bereits letztinstanzlich entschieden worden war. Zusammenfassend sind die ausschweifenden Vorbringen um die Konversion offensichtlich unglaubhaft. Ein Übertritt zum christlichen Glauben führt im Iran für sich alleine ohnehin nicht zu einer individuellen staatlichen Verfolgung (BVGE 2009/28 E. 7.3.4). Eine allfällige Verfolgung durch den iranischen Staat kommt erst dann zum Tragen, wenn der Wechsel des Glaubens aufgrund einer missionierenden Tätigkeit bekannt wird und zugleich Aktivitäten vorliegen, die vom Regime als Angriff auf den Staat angesehen werden können (a.a.O.). Letzteres ist bei der Beschwerdeführerin aus zweierlei Gründen auszuschliessen. Erstens sind die Vorbringen anlässlich der Zweitbefragung zu den angeblichen Problemen mit den Nachbarn und den Behörden - wie gesehen - offensichtlich unglaubhaft. Zweitens will die Beschwerdeführerin - sofern überhaupt stattgefunden - nur "Freunde, Familienmitglieder und Nachbarn, die sich dem Islam nicht allzu stark verbunden fühlten" über das Christentum aufgeklärt haben (SEM-Akten, A11, S. 7). Dies genügt jedoch offensichtlich nicht, um asylrelevante Aufmerksamkeit auf sich zu ziehen. Was subjektive Nachfluchtgründe anbelangt, fehlt es an Intensität der Ausübung im Ausland. Hieran ändert eine Taufe in der Schweiz nichts. Die Vorbringen vermögen somit - wie von der Vorinstanz richtig erkannt - weder Asylrelevanz zu entfalten, noch sind sie glaubhaft. Die Ausführungen auf Beschwerdeebene - sie habe den Wissenstest ihres Erachtens gut bestanden; die Ansicht, sie habe sich oberflächlich und unpersönlich geäussert, sei ein rein subjektiver Eindruck der entscheidenden Person, der es offensichtlich viel wichtiger gewesen sei, sie als Lügnerin darzustellen, als die Fluchtgründe auf die Asylrelevanz hin zu überprüfen - vermögen am Beweisergebnis nichts zu ändern. So auch nicht das österreichische Gerichtsurteil. Es ist festzustellen, dass die Beschwerdeführerin weder Vorflucht- noch Nachfluchtgründe nachzuweisen oder mindestens glaubhaft zu machen vermag. Um Wiederholungen zu vermeiden, ist auf die zutreffenden Ausführungen der Vorinstanz zu verweisen, die zu Recht das Asylgesuch abgelehnt hat.</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sie für den Fall einer Ausschaffung in den Iran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Die junge und gesunde Beschwerdeführerin mit Universitätsabschluss (SEM-Akten, A48, S. 3, F16) und Berufserfahrung in verschiedenen Bereichen verfügt im Iran über eine Familie mit neu gekauftem Haus (z. B. SEM-Akten, A11, S. 4 und SEM-Akten, A48, S. 5 f. und 19). Ferner bestätigt die Beschwerdeführerin selbst, dass es der Familie gut gehe beziehungsweise diese keine finanziellen Probleme habe (SEM-Akten, A48, S. 3). Der Vollzug der Wegweisung ist zumutbar.</w:t>
      </w:r>
    </w:p>
    <w:p>
      <w:r>
        <w:rPr>
          <w:b/>
        </w:rPr>
        <w:t>E. 6.4</w:t>
      </w:r>
    </w:p>
    <w:p>
      <w:r>
        <w:t>Nach Art. 83 Abs. 2 AuG ist der Vollzug auch als möglich zu bezeichnen, weil es der Beschwerdeführerin obliegt, sich die für eine Rückkehr notwendigen Reisedokumente bei der zuständigen Vertretung seines Heimatstaats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w:t>
      </w:r>
    </w:p>
    <w:p>
      <w:r>
        <w:t>Es sind keine Verfahrenskosten zu erheben. Die Gesuche um Gewährung der unentgeltlichen Prozessführung und um Verzicht der Erhebung eines Kostenvorschusses wurden vom damals zuständigen Richter bereits mit Zwischenverfügung vom 17. Juli 2015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