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E-4161/2013 vom 21. Februar 2014</w:t>
      </w:r>
    </w:p>
    <w:p>
      <w:r>
        <w:t>Bundesverwaltungsgericht, 2014-02-21, FR</w:t>
      </w:r>
    </w:p>
    <w:p>
      <w:r>
        <w:rPr>
          <w:b/>
        </w:rPr>
        <w:t xml:space="preserve">Quelle: </w:t>
      </w:r>
      <w:r>
        <w:t>https://mcp.opencaselaw.ch/entscheid/bvger_E-4161_2013</w:t>
      </w:r>
    </w:p>
    <w:p>
      <w:r>
        <w:t>FR: TAF E-4161/2013 du 21 février 2014</w:t>
      </w:r>
    </w:p>
    <w:p>
      <w:r>
        <w:t>IT: TAF E-4161/2013 del 21 febbraio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(cf. art. 48 al. 1 PA). Présenté dans la forme (cf. art. 52 al. 1 PA) et le délai (cf. art. 108 al. 1 LAsi) prescrit par la loi, le recours est recevable.</w:t>
      </w:r>
    </w:p>
    <w:p>
      <w:r>
        <w:rPr>
          <w:b/>
        </w:rPr>
        <w:t>E. 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17 juin 2013,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 voir aussi arrêt du Tribunal administratif fédéral E-4157/2012 du 4 octobre 2012, consid. 4).</w:t>
      </w:r>
    </w:p>
    <w:p>
      <w:r>
        <w:rPr>
          <w:b/>
        </w:rPr>
        <w:t>E. 3.3</w:t>
      </w:r>
    </w:p>
    <w:p>
      <w:r>
        <w:t>Il découle de ce qui précède que la décision attaquée doit être annulée pour constatation incomplète de l'état de fait pertinent et la cause renvoyée à l'autorité inférieure pour complément d'instruction et nouvelle décision. Le recours doit dès lors être admis, sans qu'il soit nécessaire d'examiner les autres griefs qui y sont avancés. Le dossier est renvoyé à l'ODM avec copies des pièces de la procédure de recours, accompagnées des moyens de preuve (originaux, lorsqu'ils ont été fournis) déposés en procédure de recours.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 L'avance de frais de 600 francs, versée le 8 août 2013, sera restituée au recourant.</w:t>
      </w:r>
    </w:p>
    <w:p>
      <w:r>
        <w:rPr>
          <w:b/>
        </w:rPr>
        <w:t>E. 4.3.1</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4.3.2</w:t>
      </w:r>
    </w:p>
    <w:p>
      <w:r>
        <w:t>Dans la mesure où il est fait droit à sa conclusion tendant à l'annulation de la décision attaquée, le recourant doit être considéré comme ayant obtenu gain de cause. En l'espèce, le mandataire n'a pas déposé de note de frais. Aussi, le tribunal fixe l'indemnité sur la base de dossier.</w:t>
      </w:r>
    </w:p>
    <w:p>
      <w:r>
        <w:rPr>
          <w:b/>
        </w:rPr>
        <w:t>E. 4.3.3</w:t>
      </w:r>
    </w:p>
    <w:p>
      <w:r>
        <w:t>En conséquence, en application des règles de calcul prévues par la loi, vu les circonstances particulières et en prenant en considération les frais et le temps nécessaires à la défense de la partie, les dépens sont arrêtés à 2'000 francs, montant que l'autorité de première instance est invitée à verser au recourant, en application de l'art.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