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E-4159/2012 vom 18. Juni 2013</w:t>
      </w:r>
    </w:p>
    <w:p>
      <w:r>
        <w:t>Bundesverwaltungsgericht, 2013-06-18, DE</w:t>
      </w:r>
    </w:p>
    <w:p>
      <w:r>
        <w:rPr>
          <w:b/>
        </w:rPr>
        <w:t xml:space="preserve">Quelle: </w:t>
      </w:r>
      <w:r>
        <w:t>https://mcp.opencaselaw.ch/entscheid/bvger_E-4159_2012</w:t>
      </w:r>
    </w:p>
    <w:p>
      <w:r>
        <w:t>FR: TAF E-4159/2012 du 18 juin 2013</w:t>
      </w:r>
    </w:p>
    <w:p>
      <w:r>
        <w:t>IT: TAF E-4159/2012 del 18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in der angefochtenen Verfügung aus, die Aussagen der Beschwerdeführenden zu den drei Überfällen enthielten Widersprüche und Ungereimtheiten. So mache der Beschwerdeführer beispielsweise widersprüchliche Angaben zum Zeitpunkt des letzten Angriffes. Eine weitere Unschlüssigkeit ergebe sich aus dem Umstand, dass er angab, nur den letzten Überfall bei der Polizei gemeldet zu haben, wohingegen seine Frau erklärte, nur die beiden ersten Übergriffe seien angezeigt worden. In einer Gesamtwürdigung kam des BFM zum Schluss, dass die Beschwerdeführenden sich auf eine konstruierte Asylbegründung abstützen. Zur Behauptung, sie hätten nicht in ethnisch homogen zusammengesetzten Quartieren leben können, führte das BFM aus, dass es in den Grossstädten Südafrikas sicher auch ethnisch heterogen zusammengesetzte Quartiere gebe. Diese Vorbringen bezeichnete es als nicht asylrelevant. Den Wegweisungsvollzug erachtete es angesichts der allgemeinen Lage, der wirtschaftlich guten Situation der Beschwerdeführenden und ihrem familiären Beziehungsnetz in F._______ und wohl auch in H._______ als zulässig, zumutbar sowie als technisch möglich und praktisch durchführbar.</w:t>
      </w:r>
    </w:p>
    <w:p>
      <w:r>
        <w:rPr>
          <w:b/>
        </w:rPr>
        <w:t>E. 3.2</w:t>
      </w:r>
    </w:p>
    <w:p>
      <w:r>
        <w:t>In der Beschwerde wiederholen die Beschwerdeführenden ihre früheren Vorbringen. Bezüglich der widersprüchlichen Angaben zum Zeitpunkt des letzten Übergriffs im Jahre 2010 bringt der Beschwerdeführer vor, er habe stets beteuert, sich nicht an die genaue Zeiten zu erinnern. Die gegenüber seiner Darstellung abweichenden Angaben seiner Frau zu den Polizeimeldungen rühre daher, dass sie nicht über alle Geschehnisse informiert gewesen sei. Neu bringen die Beschwerdeführenden unter Verweis auf einen NZZ-Bericht (2001) und einen Amnesty International Länderreport (2011) vor, es könne nicht mit genügendem Polizeischutz gerechnet werden und es gebe keine innerstaatliche Fluchtalternative.</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w:t>
      </w:r>
    </w:p>
    <w:p>
      <w:r>
        <w:rPr>
          <w:b/>
        </w:rPr>
        <w:t>E. 4.1</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weder widersprüchlich sein noch der inneren Logik entbehren. Die asylsuchende Person muss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4.2</w:t>
      </w:r>
    </w:p>
    <w:p>
      <w:r>
        <w:t>Die Beschwerdeführenden nennen drei Übergriffe, die sich in den Jahren 2006, 2008 und 2010 ereignet haben sollen. Trotz Aufforderung unterliessen sie es jedoch, die Übergriffe durch Polizeiakten zu belegen oder anderweitig glaubhaft zu machen. Dies führt in dreierlei Hinsicht zu Zweifeln an der Richtigkeit ihrer Aussagen.</w:t>
      </w:r>
    </w:p>
    <w:p>
      <w:r>
        <w:rPr>
          <w:b/>
        </w:rPr>
        <w:t>E. 4.2.1</w:t>
      </w:r>
    </w:p>
    <w:p>
      <w:r>
        <w:t>Erstens erweisen sich die Angaben zum Zeitpunkt des letzten Vorfalls als widersprüchlich. Die Beschwerdeführerin gab an, der letzte Angriff sei Mitte 2010 erfolgt (A7 S. 7). Nach Darstellung des Beschwerdeführers hingegen erfolgte dieser etwa einen Monat vor der Ausreise (A6 S. 8), also im November 2010. Bei der Anhörung gab er an, kurz vor der Ausreise und nach der Fussballmeisterschaft (A19 F13) beziehungsweise gleich nach dem Weltcup oder einen Monat nach dem Final (A19 F63 f.) letztmals angegriffen worden zu sein. Die beiden haben Südafrika am 20. oder 21. Dezember 2010 verlassen. Angesichts dieses einschneidenden Erlebnisses hätte es ihnen möglich sein müssen, das Datum des letzten Übergriffs - kurz vor der Ausreise oder ein halbes Jahr zuvor (der Weltcupfinal fand am 11. Juni 2010 statt) - präziser einzuordnen, zumal offenbar dieser Vorfall den Anlass zur Ausreise gegeben hat. Daran ändert der Einwand, der Beschwerdeführer habe sich nie an den Zeitpunkt erinnern können, nichts.</w:t>
      </w:r>
    </w:p>
    <w:p>
      <w:r>
        <w:rPr>
          <w:b/>
        </w:rPr>
        <w:t>E. 4.3</w:t>
      </w:r>
    </w:p>
    <w:p>
      <w:r>
        <w:t>Zweitens verstrickten sich die Beschwerdeführenden bezüglich der Frage, ob die Übergriffe der Polizei gemeldet worden seien, in Widersprüche. Während der Beschwerdeführer angab, den Vorfall im 2010 bei der Polizei angezeigt zu haben (A6/13 S. 8), behauptete seine Ehefrau das Gegenteil (A7/11 S. 7): Nicht dieser Angriff, sondern die beiden Vorfälle in den Jahren 2006 und 2008 seien der Polizei gemeldet worden (A18/9 S. 3), was aber der Beschwerdeführer verneinte (A6/13 S. 8). Selbst wenn Letzterer, wie in der Beschwerde vorgebracht, seiner Ehefrau nicht alle Details berichtet haben sollte, ist schwer nachvollziehbar, weshalb sich die Angaben derart widersprechen.</w:t>
      </w:r>
    </w:p>
    <w:p>
      <w:r>
        <w:rPr>
          <w:b/>
        </w:rPr>
        <w:t>E. 4.4</w:t>
      </w:r>
    </w:p>
    <w:p>
      <w:r>
        <w:t>Drittens widersprach sich der Beschwerdeführer bei der Schilderung des Vorfalls im Jahr 2008, als er bei einem eritreischen Kollegen in G._______ übernachtet habe. Zunächst gab er an, durch den Übergriff Verletzungen am linken Ellbogen erlitten zu haben (A6/13). Später gab er jedoch zu Protokoll, bei diesem Angriff aus dem Haus geflohen zu sein; er sei nicht verletzt worden, da der Angreifer ihn nicht habe festneh­men können (A19/15). Die beiden Versionen sind nicht vereinbar und die unterschiedlichen Schilderungen nicht nachvollziehbar.</w:t>
      </w:r>
    </w:p>
    <w:p>
      <w:r>
        <w:rPr>
          <w:b/>
        </w:rPr>
        <w:t>E. 4.5</w:t>
      </w:r>
    </w:p>
    <w:p>
      <w:r>
        <w:t>Insgesamt sind die vom Beschwerdeführer behaupteten Übergriffe in den Jahren 2006, 2008 und 2010 nicht geradezu unmöglich, doch ist es in Würdigung der gesamten Aspekte unwahrscheinlich, dass sie sich entsprechend der (verschiedenen) Sachverhaltsdarstellungen abgespielt haben. In Anbetracht der Widersprüche namentlich bezüglich des Zeitpunktes des letzten Übergriffs, der erfolgten oder unterlassenen Anzeigen sowie des Vorfalls im Jahr 2008 sind sie als unglaubhaft zu qualifizieren.</w:t>
      </w:r>
    </w:p>
    <w:p>
      <w:r>
        <w:rPr>
          <w:b/>
        </w:rPr>
        <w:t>E. 4.6</w:t>
      </w:r>
    </w:p>
    <w:p>
      <w:r>
        <w:t>Der Beschwerdeführer erklärte, seit (...) in Südafrika zu leben. Dabei habe die Intensität der Übergriffe seit 2006 kontinuierlich zugenommen. Solche Vorfälle wären allerdings nur bedeutsam, wenn sie sich gegen ihn richten und konkrete Hinweise auf zukünftige Attacken bestehen würden. Da sich in Bezug auf seine Person kleinere Übergriffe offenbar höchstens sporadisch zugetragen haben, besteht kein genügend zeitlicher und inhaltlicher Kausalzusammenhang zwischen ihnen und der Ausreise.</w:t>
      </w:r>
    </w:p>
    <w:p>
      <w:r>
        <w:rPr>
          <w:b/>
        </w:rPr>
        <w:t>E. 4.7</w:t>
      </w:r>
    </w:p>
    <w:p>
      <w:r>
        <w:t>Das Bundesverwaltungsgericht beurteilt es als grundsätzlich glaubhaft, dass in Südafrika Übergriffe der lokalen Bevölkerung gegenüber Migrantinnen und Migranten aus xenophoben Gründen stattfinden. Dass die südafrikanische Polizei völlig untätig bleibt, konnte der Beschwerdeführer jedoch nicht glaubhaft machen. Zwar können die dortigen Sicherheitsbehörden keinen umfassenden Schutz garantieren. Dennoch verfügt das Land über ein weitgehend funktionierendes Justiz- und Polizeiwesen. So zeigt die südafrikanische Polizei in kritischen Situationen Präsenz und führt Verhaftungen durch. Dies sei beispielsweise auch 2010 der Fall gewesen, als der Beschwerdeführer Anzeige gegen einen seiner Angreifer erstattet habe (A19/15). Selbst wenn die staatliche Schutzgewährung nicht hiesigen Verhältnissen entsprechen mag, kann keineswegs von einer staatlichen Schutzunfähigkeit gesprochen werden.</w:t>
      </w:r>
    </w:p>
    <w:p>
      <w:r>
        <w:rPr>
          <w:b/>
        </w:rPr>
        <w:t>E. 4.8</w:t>
      </w:r>
    </w:p>
    <w:p>
      <w:r>
        <w:t>Was das Asylmotiv der Beschwerdeführerin angelangt, so wies sie im Wesentlichen auf die Situation ihres Ehemannes hin und trug vor, aufgrund ihrer Ehe mit einem Schwarzen diskriminiert zu werden. Ein Zusammenleben sei weder in schwarzen noch weissen Quartieren möglich, da das Paar von fremden Leuten schräg angeschaut würde (A18/9). Wie von der Vorinstanz korrekt festgestellt wurde, ist dieses Vorbringen aufgrund mangelnder Intensität nicht weiter zu prüfen und es kommt ihm keine flüchtlingsrechtliche Bedeutung zu.</w:t>
      </w:r>
    </w:p>
    <w:p>
      <w:r>
        <w:rPr>
          <w:b/>
        </w:rPr>
        <w:t>E. 4.9</w:t>
      </w:r>
    </w:p>
    <w:p>
      <w:r>
        <w:t>Insgesamt ist die Feststellung der Vorinstanz, dass die Beschwerdeführenden die Flüchtlingseigenschaft nicht erfüllen, zutreffend, und die Beschwerde ist bezüglich Flüchtlingseigenschaft und Asyl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 oder Niederlassungsbewilligung (Art. 32 der Asylverordnung 1 vom 11. August 1999 (AsylV 1, SR 142.311) noch über einen Anspruch auf Erteilung einer solchen (vgl. BVGE 2011/24 E. 10.1 m.w.H.). Die Wegweisung wurde demnach zu Recht angeordnet.</w:t>
      </w:r>
    </w:p>
    <w:p>
      <w:r>
        <w:rPr>
          <w:b/>
        </w:rPr>
        <w:t>E. 6</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6.1.1</w:t>
      </w:r>
    </w:p>
    <w:p>
      <w:r>
        <w:t>Die Vorinstanz wies in der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findet der in Art. 5 AsylG verankerte Grundsatz der Nichtrückschiebung im vorliegenden Verfahren keine Anwendung. Die Rückkehr nach Südafrika ist demnach unter dem Aspekt von Art. 5 AsylG rechtmässig.</w:t>
      </w:r>
    </w:p>
    <w:p>
      <w:r>
        <w:rPr>
          <w:b/>
        </w:rPr>
        <w:t>E. 6.1.2</w:t>
      </w:r>
    </w:p>
    <w:p>
      <w:r>
        <w:t>Sodann ergeben sich weder aus den Aussagen der Beschwerde­führenden noch aus den Akten Anhaltspunkte dafür, dass sie für den Fall einer Ausschaffung nach Südafrika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Rückkehr Folter oder unmenschliche Behandlung drohen würde (vgl. EGMR [Grosse Kammer], Saadi gegen Italien, Urteil vom 28. Februar 2008, Beschwerde Nr. 37201/06, §§ 124 ff., m.w.H.). Auch die allgemeine Menschenrechtssituation in Südafrika lässt den Wegweisungsvollzug nicht als unzulässig erscheinen. Mithin ist der Vollzug der Wegweisung im Sinne der asyl- und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Das BFM stellte in der angefochtenen Verfügung fest, dass weder die in Südafrika herrschende politische Situation noch andere Gründe gegen die Zumutbarkeit der Rückführung in den Heimatstaat sprechen. Das Bundesverwaltungsgericht erachtet die Menschenrechts- und Sicherheitslage in Südafrika ebenfalls als grundsätzlich stabil.</w:t>
      </w:r>
    </w:p>
    <w:p>
      <w:r>
        <w:rPr>
          <w:b/>
        </w:rPr>
        <w:t>E. 6.2.2</w:t>
      </w:r>
    </w:p>
    <w:p>
      <w:r>
        <w:t>Der Beschwerdeführende erklärte, ihm sei es in Südafrika wirtschaftlich gut gegangen. So konnte er über mehrere Jahre hinweg ein eigenes (...)geschäft führen. Überdies besitzen die Gesuchsteller in F._______ und wohl auch in H._______, von wo die Beschwerdeführerin stammt, über ein familiäres Beziehungsnetz. Unter diesen begünstigenden Faktoren (Existenz eines tragfähigen Beziehungsnetzes, Sicherung des Existenzminimums, gesicherte Wohnsituation) ist eine Rückkehr nach Südafrika, insbesondere in Grossstädte und dort wohl eher in heterogen zusammengesetzten Quartieren, für das ethnisch gemischte Paar und ihren Kindern durchaus zumutbar.</w:t>
      </w:r>
    </w:p>
    <w:p>
      <w:r>
        <w:rPr>
          <w:b/>
        </w:rPr>
        <w:t>E. 6.3</w:t>
      </w:r>
    </w:p>
    <w:p>
      <w:r>
        <w:t>Schliesslich obliegt es den Beschwerdeführenden, sich bei der zuständigen Vertretung des Heimatstaates die für eine Rückkehr notwendigen Reisedokumente zu beschaffen (vgl. Art. 8 Abs. 4 AsylG; BVGE 2008/34 E. 12), weshalb der Wegweisungsvollzug auch möglich ist.</w:t>
      </w:r>
    </w:p>
    <w:p>
      <w:r>
        <w:rPr>
          <w:b/>
        </w:rPr>
        <w:t>E. 6.4</w:t>
      </w:r>
    </w:p>
    <w:p>
      <w:r>
        <w:t>Zusammenfassend hat das BFM den Wegweisungsvollzug zu Recht als zulässig, zumutbar und möglich erachtet. Damit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werden mit dem am 29. August 2012 bezahlten Kostenvorschuss im gleichen Betrag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