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E-4140/2014 vom 13. Oktober 2014</w:t>
      </w:r>
    </w:p>
    <w:p>
      <w:r>
        <w:t>Bundesverwaltungsgericht, 2014-10-13, DE</w:t>
      </w:r>
    </w:p>
    <w:p>
      <w:r>
        <w:rPr>
          <w:b/>
        </w:rPr>
        <w:t xml:space="preserve">Quelle: </w:t>
      </w:r>
      <w:r>
        <w:t>https://mcp.opencaselaw.ch/entscheid/bvger_E-4140_2014</w:t>
      </w:r>
    </w:p>
    <w:p>
      <w:r>
        <w:t>FR: TAF E-4140/2014 du 13 octobre 2014</w:t>
      </w:r>
    </w:p>
    <w:p>
      <w:r>
        <w:t>IT: TAF E-4140/2014 del 13 ottobre 2014</w:t>
      </w:r>
    </w:p>
    <w:p>
      <w:pPr>
        <w:pStyle w:val="Heading2"/>
      </w:pPr>
      <w:r>
        <w:t>Regeste</w:t>
      </w:r>
    </w:p>
    <w:p>
      <w:r>
        <w:t>Asyl (ohne Wegweisung)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8.1 Bei diesem Ausgang des Verfahrens wären die Kosten der Be-schwerdeführerin aufzuerlegen (Art. 63 Abs. 1 VwVG). Infolge Gutheissung des Gesuchs um Gewährung der unentgeltlichen Prozessführung im Sinne von Art. 65 Abs. 1 VwVG ist jedoch praxisgemäss auf die Auferlegung von Verfahrenskosten zu verzichten.</w:t>
      </w:r>
    </w:p>
    <w:p>
      <w:r>
        <w:rPr>
          <w:b/>
        </w:rPr>
        <w:t>E. 8.2</w:t>
      </w:r>
    </w:p>
    <w:p>
      <w:r>
        <w:t>Die amtliche Rechtsbeiständin hat am 23. Juli 2014 eine Kostennote eingereicht. Der ausgewiesene Aufwand von 8.25 Stunden (Stundenansatz Fr. 150.-) wird vom Gericht als angemessen erachtet. Unter Berücksichtigung der massgebenden Bemessungsfaktoren (Art. 9-13 des Reglements vom 21. Februar 2008 über die Kosten und Entschädigungen vor dem Bundesverwaltungsgericht [VGKE, SR 173.320.2]) ist ihr eine Entschädigung in der Höhe von Fr. 1391.- (inkl. Auslagen und Mehrwertsteueranteil) zuzusprechen. (Dispositiv nächste Seite)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