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E-4136/2019 vom 10. März 2021</w:t>
      </w:r>
    </w:p>
    <w:p>
      <w:r>
        <w:t>Bundesverwaltungsgericht, 2021-03-10, DE</w:t>
      </w:r>
    </w:p>
    <w:p>
      <w:r>
        <w:rPr>
          <w:b/>
        </w:rPr>
        <w:t xml:space="preserve">Quelle: </w:t>
      </w:r>
      <w:r>
        <w:t>https://mcp.opencaselaw.ch/entscheid/bvger_E-4136_2019</w:t>
      </w:r>
    </w:p>
    <w:p>
      <w:r>
        <w:t>FR: TAF E-4136/2019 du 10 mars 2021</w:t>
      </w:r>
    </w:p>
    <w:p>
      <w:r>
        <w:t>IT: TAF E-4136/2019 del 10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Nachdem auch der Kostenvorschuss fristgerecht geleistet worden ist,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begründete ihren ablehnenden Asylentscheid im Wesentlichen mit der mangelnden Glaubhaftigkeit der Vorbringen. Die Ausführungen des Beschwerdeführers zu den Vorfällen im Zusammenhang mit der Biafra-Bewegung seien knapp und unsubstanziiert ausgefallen. Es entstehe nicht der Eindruck, als habe er die geschilderten, einschneidenden Ereignisse tatsächlich selbst erlebt. Diese Einschätzung stütze sich auf den Bruch in seiner Erzählstruktur, da er seine späteren Erlebnisse in Libyen im Kontrast dazu detailliert und ausführlich wiedergegeben habe. Seine Darstellung der Vorkommnisse in seinem Heimatstaat sei überdies bisweilen widersprüchlich ausgefallen und erweise sich stellenweise als schwer nachvollziehbar. Ungeachtet der Unglaubhaftigkeit seiner Vorbringen fehle es diesen ausserdem an asylrechtlicher Relevanz. Es sei nicht ersichtlich, weshalb er die - als schutzwillig und schutzfähig zu erachtenden - heimatlichen Behörden nicht habe um Schutz ersuchen können.</w:t>
      </w:r>
    </w:p>
    <w:p>
      <w:r>
        <w:rPr>
          <w:b/>
        </w:rPr>
        <w:t>E. 4.2</w:t>
      </w:r>
    </w:p>
    <w:p>
      <w:r>
        <w:t>Zur Begründung seines Rechtsmittels führte der Beschwerdeführer im Wesentlichen aus, seine karge Erzählweise sei Ausdruck seiner Art, mit belastenden Ereignissen umzugehen. Soweit die Vorinstanz in seinen Ausführungen gewisse Widersprüche erkenne, handle es sich dabei um erklärbare Missverständnisse. Er könne nicht in seinen Heimatstaat zurückkehren, da ihm dort keine staatliche Unterstützung bei seinen Problemen zuteilwerde. Der nigerianische Staat sei zwar gegen die Biafra-Bewegung. An seinem Heimatort biete die Polizei allerdings niemandem Hilfe, der Probleme im Zusammenhang mit der Biafra-Bewegung habe. Die gewalttätigen Personen, die seine Frau und sein Kind getötet hätten, seien nach wie vor hinter ihm her. Der Staat könne ihn nicht schützen, weshalb er weder bei seinen Geschwistern noch in Lagos Zuflucht finden könne.</w:t>
      </w:r>
    </w:p>
    <w:p>
      <w:r>
        <w:rPr>
          <w:b/>
        </w:rPr>
        <w:t>E. 5.1</w:t>
      </w:r>
    </w:p>
    <w:p>
      <w:r>
        <w:t>Gemäss art. 2 Abs. 1 AsylG gewährt die Schweiz Flüchtlingen grundsätzlich Asyl.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Vorinstanz ist darin zuzustimmen, dass sich aus den Angaben des Beschwerdeführers gewisse Zweifel an dessen Ausführungen zur geltend gemachten Verfolgung in seinem Heimatort ergeben. Insbesondere fällt auf, dass die detailarme Erzählweise der Vorfluchtgründe stark mit den Schilderungen der Ereignisse in Libyen kontrastiert. Dieser Bruch in der Erzählweise verstärkt den Eindruck, dass es sich bei den geltend gemachten Vorkommnissen im Heimatort des Beschwerdeführers nicht um tatsächlich Erlebtes handelt.</w:t>
      </w:r>
    </w:p>
    <w:p>
      <w:r>
        <w:rPr>
          <w:b/>
        </w:rPr>
        <w:t>E. 6.2</w:t>
      </w:r>
    </w:p>
    <w:p>
      <w:r>
        <w:t>Angesichts der nachfolgenden Erwägungen zur flüchtlingsrechtlichen Relevanz kann vorliegend jedoch eine eingehende Prüfung zur Glaubhaftigkeit unterbleiben. Als Wesentlich wird somit Folgendes erachtet:</w:t>
      </w:r>
    </w:p>
    <w:p>
      <w:r>
        <w:rPr>
          <w:b/>
        </w:rPr>
        <w:t>E. 6.3</w:t>
      </w:r>
    </w:p>
    <w:p>
      <w:r>
        <w:t>Die vom Beschwerdeführer geschilderten Behelligungen sind auf eine Gruppe von Anhängern einer separatistischen Biafra-Bewegung - und somit flüchtlingsrechtlich gesehen auf Drittpersonen - zurückzuführen. Insofern bleibt zu prüfen, ob für den Beschwerdeführer die Inanspruchnahme staatlichen Schutzes im Heimatstaat möglich war. Der Beschwerdeführer machte geltend, er habe die Gruppe nach der Zerstörung seines Geschäfts nirgends anzeigen können, er habe geschwiegen; auch die Polizei habe Angst vor dieser gehabt (vgl. act. A20/14 F40). Die Ermordung seiner Ehefrau und seines Kindes habe er nirgends gemeldet (vgl. act. A 20/14 F55).</w:t>
      </w:r>
    </w:p>
    <w:p>
      <w:r>
        <w:rPr>
          <w:b/>
        </w:rPr>
        <w:t>E. 6.4</w:t>
      </w:r>
    </w:p>
    <w:p>
      <w:r>
        <w:t>Es mag sein, dass die lokale Polizei untätig geblieben wäre. Medienberichten zufolge kommt es indes immer wieder zu Einsätzen der staatlichen Sicherheitskräfte gegen Anhänger und Unterstützer der separatistischen Biafra-Bewegung - sowie Sub- und Splittergruppierungen mit demselben Ziel - im Südosten des Landes (EASO, Nigeria: Targeting of Individuals, November 2018 https://coi.easo.europa.eu/administration/easo/PLib/2018_EASO_COI_Nigeria_TargetingIndividuals.pdf , S. 84 f., abgerufen am 5. März 2021). Selbst unter der Annahme, dass Polizei- und Sicherheitsbehörden - wie vom Beschwerdeführer behauptet - nicht (mehr) gegen die Bewegung vorgehen, handelt es sich somit dabei höchstens um lokale Einschränkungen der staatlichen Schutzkapazität (vgl. act. A20/14 F54, F56, F58). Letztlich kann die Frage nach allfälligen lokalen Beschränkungen allerdings offenbleiben, da die Behörden im nigerianischen Gesamtkontext entschieden gegen die Biafra-Bewegung und ähnliche Subgruppierungen vorgehen (UK Home Office, Country Policy and Information Note Nigeria: Biafran Separatists, April 2020 &lt; https://www.justice.gov/eoir/page/file/1267611/download &gt;, Rz. 6.4 ff., abgerufen am 5. März 2021). Insofern gelingt es dem Beschwerdeführer nicht, einen mangelnden Schutzwillen der heimatlichen Sicherheitsbehörden glaubhaft zu machen. Es bietet sich ihm jedenfalls ausserhalb des Einflussbereichs der Biafra-Bewegung eine innerstaatliche Fluchtalternative, die ihm auch zumutbar ist (vgl. dazu BVGE 2011/51 E.7.3). Diesbezüglich ist anzumerken, dass laut ihm zwischenzeitlich auch seine Geschwister B._______ verlassen haben und nun an einem nahegelegenen Ort in einem anderen Bundesstaat ansässig seien (vgl. act. A20/14 F71 ff.).</w:t>
      </w:r>
    </w:p>
    <w:p>
      <w:r>
        <w:rPr>
          <w:b/>
        </w:rPr>
        <w:t>E. 6.5</w:t>
      </w:r>
    </w:p>
    <w:p>
      <w:r>
        <w:t>Im Ergebnis bedarf der Beschwerdeführer keines internationalen Schutzes (vgl. BVGE 2011/51 E. 7), weshalb seine Vorbringen als nicht asylrelevant im Sinne von Art. 3 AsylG zu qualifizieren sind.</w:t>
      </w:r>
    </w:p>
    <w:p>
      <w:r>
        <w:rPr>
          <w:b/>
        </w:rPr>
        <w:t>E. 6.6</w:t>
      </w:r>
    </w:p>
    <w:p>
      <w:r>
        <w:t>Zusammenfassend ist daher festzuhalten, dass die Vorinstanz zu Recht die Flüchtlingseigenschaft des Beschwerdeführers verneint und sein Asylgesuch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namentlich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Weder die allgemeine Lage im Heimatstaat des Beschwerdeführers noch individuelle Gründe lassen darauf schliessen, dass er im Falle einer Rückkehr einer Gefahr ausgesetzt wäre, weshalb der Vollzug der Wegweisung vorliegend zumutbar ist. Der Beschwerdeführer verfügt über eine Berufsausbildung als (...) und mehrjährige Berufserfahrung. Bis zu seiner Ausreise führte er zur Bestreitung seines Lebensunterhalts eine eigene Werkstatt, in der er auch Lehrlinge beschäftigte. Seine Geschwister leben ausserdem in Nigeria und können ihn bei der wirtschaftlichen und sozialen Reintegration unterstützen. Somit erscheint es vorliegend unwahrscheinlich, dass er in Nigeria in eine existenzbedrohende Notlage geraten wird.</w:t>
      </w:r>
    </w:p>
    <w:p>
      <w:r>
        <w:rPr>
          <w:b/>
        </w:rPr>
        <w:t>E. 8.3.2</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Deckung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