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E-4127/2006 vom 9. Februar 2009</w:t>
      </w:r>
    </w:p>
    <w:p>
      <w:r>
        <w:t>Bundesverwaltungsgericht, 2009-02-09, FR</w:t>
      </w:r>
    </w:p>
    <w:p>
      <w:r>
        <w:rPr>
          <w:b/>
        </w:rPr>
        <w:t xml:space="preserve">Quelle: </w:t>
      </w:r>
      <w:r>
        <w:t>https://mcp.opencaselaw.ch/entscheid/bvger_E-4127_2006</w:t>
      </w:r>
    </w:p>
    <w:p>
      <w:r>
        <w:t>FR: TAF E-4127/2006 du 9 février 2009</w:t>
      </w:r>
    </w:p>
    <w:p>
      <w:r>
        <w:t>IT: TAF E-4127/2006 del 9 febbraio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 Les recours contre de telles décisions, qui étaient pendants au 31 décembre 2006 devant l'ancienne Commission suisse de recours en matière d'asile, sont également traités depuis le 1er janvier 2007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 la procédure devant le Tribunal administratif fédéral est régie par la PA, pour autant que la LTAF n'en dispose pas autrement (art. 37 LTAF).</w:t>
      </w:r>
    </w:p>
    <w:p>
      <w:r>
        <w:rPr>
          <w:b/>
        </w:rPr>
        <w:t>E. 1.3</w:t>
      </w:r>
    </w:p>
    <w:p>
      <w:r>
        <w:t>Les recourants ont qualité pour recourir (art. 48 PA). Présenté dans la forme (art. 52 PA) et le délai (art. 50 PA, dans sa teneur en vigueur à l'époque du dépôt du recours) prescrits par la loi, leurs recours sont recevables.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2000 n° 17 consid. 10 et 11 p. 156ss et JICRA 1993 n° 10 consid. 5e p. 65 ; Walter Stöckli, Asyl, in : Ausländerrecht, Handbücher für die Anwaltspraxis, Uebersax/Rudin/Hugi Yar/Geiser éd., 2e éd.., Bâle 2009, p. 530; Minh Son Nguyen, Droit public des étrangers, Berne 2003, p. 423S; Mario Gattiker, La procédure d'asile et de renvoi, Organisation suisse d'aide aux réfugiés (éd.), Berne 1999, p. 58s; Walter Kälin, Grundriss des Asylverfahrens, Bâle/Francfort-sur-le-Main 1990, p. 49ss, Samuel Werenfels, Der Begriff des Flüchtlings im schweizerischen Asylrecht, Berne 1987, p. 269ss, spéc. p. 275; voir enfin Message du Conseil fédéral à l'appui d'une loi sur l'asile du 31 août 1977, FF 1977 III 124).</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op. cit., p. 447ss ; Mario Gattiker, op. cit.,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op. cit., p. 126 et 143ss ; Samuel Werenfels, op. cit., p. 287ss).</w:t>
      </w:r>
    </w:p>
    <w:p>
      <w:r>
        <w:rPr>
          <w:b/>
        </w:rPr>
        <w:t>E. 3.1</w:t>
      </w:r>
    </w:p>
    <w:p>
      <w:r>
        <w:t>En l'occurrence, A._______ a allégué, lors du dépôt de sa demande d'asile, avoir subi de sérieux préjudices de la part des services secrets du régime de Saddam Hussein, en particulier avoir été détenue durant plusieurs mois, avoir été victime de nombreux viols et d'autres graves atteintes à son intégrité et avoir été interdite d'exercer sa profession de médecin, en raison de son refus d'obtempérer à des ordres contraires à son éthique professionnelle et en raison également, dans une certaine mesure, de son appartenance religieuse. La vraisemblance des faits allégués n'a pas été examinée par l'autorité inférieure, laquelle estimait ces derniers non pertinents pour l'octroi de l'asile. Le Tribunal, quant à lui, considère qu'il n'existe pas de motif suffisant, dans le cas concret, pour conclure à l'absence de plausibilité des faits allégués par les recourants. Certes, les déclarations de A._______ manquent parfois de précision et présentent quelques incohérences. Cependant, il y a lieu de tenir compte du fait que l'audition portait sur des événements survenus pendant la détention qui, dans l'hypothèse où ils sont véridiques, étaient particulièrement traumatisants, de sorte qu'une prudence particulière s'impose quant aux conclusions à tirer de l'existence de divergences ou d'inconsistances dans les propos. Ces éléments négatifs doivent, en outre, être pondérés avec les éléments parlant en faveur de la vraisemblance des faits, en particulier les moyens de preuve déposés. Tout bien pesé, le Tribunal estime que les faits invoqués à l'appui de la demande d'asile ont été rendus vraisemblables au sens de l'art. 7 LAsi. En outre, contrairement à l'autorité de première instance, le Tribunal estime qu'il y a lieu d'admettre une connexité temporelle entre les préjudices allégués et le départ du pays d'origine. Certes, les recourants ont vécu plus de deux ans à Kirkouk après la libération de A._______. Le rapport de causalité temporel entre les préjudices subis et la fuite du pays doit toutefois être examiné en tenant compte d'éventuels empêchements objectifs au départ (cf. JICRA 1996 n° 42 p. 365ss, 1996 n° 25 p. 247ss). Dans le cas concret, A._______ a expliqué qu'elle avait dû veiller à conserver la plus grande discrétion pour vendre ses biens et réunir l'argent nécessaire à financer le réseau de passeurs, afin que les autorités ne se doutent pas de sa volonté de quitter le pays. Par ailleurs et surtout, la décision entreprise méconnaît la situation dans laquelle se trouvait la recourante du fait de l'interdiction de pratiquer qui lui avait été signifiée en même temps que sa libération et du fait qu'elle se trouvait désormais cataloguée comme opposante au régime. La recourante a également exposé l'hostilité dont elle était la victime de la part tant des autorités que de la population, à cause de la détention prolongée qu'elle avait subie, laquelle suscitait toutes sortes de médisances. Il ressort de ses explications qu'après l'enlèvement de son fils, elle s'est non seulement retrouvée considérablement démunie sur le plan financier, compte tenu de l'importance de la rançon payée, mais également privée de ressources, vu qu'elle ne pouvait plus exercer sa profession ; par ailleurs, elle était, vu sa situation, dans l'impossibilité de recourir à l'aide de la police ou des autorités. On ne saurait par conséquence affirmer que la persécution a cessé avec sa relaxe de la prison de Bagdad. Force est en effet d'admettre qu'elle s'est poursuivie au-delà de cette date, sous la forme en tout cas d'une pression psychique insupportable, au sens exposé ci-dessus (cf. consid. 2.3). Il y a donc lieu d'admettre que la recourante remplissait, au moment de son départ du pays, les conditions nécessaires à la reconnaissance de sa qualité de réfugiée.</w:t>
      </w:r>
    </w:p>
    <w:p>
      <w:r>
        <w:rPr>
          <w:b/>
        </w:rPr>
        <w:t>E. 3.2</w:t>
      </w:r>
    </w:p>
    <w:p>
      <w:r>
        <w:t>Pour l'examen de la qualité de la réfugié, il s'impose de prendre en considération les changements objectifs de circonstances, tant positifs que négatifs pour la personne concernée, intervenus dans le pays d'origine de cette dernière entre le moment de son départ du pays et celui où la décision est prise sur sa demande d'asile (cf. ATAF 2008/4 consid. 5.4 p. 38; JICRA 2000 n° 2 consid. 8a p. 20, 1994 n° 24 consid. 8. p. 177). En l'occurrence, comme l'a relevé l'autorité inférieure, les motifs d'asile invoqués par les recourants à l'époque du dépôt de leur demande sont devenus obsolètes, en raison de la chute, le 9 avril 2003, du régime de Saddam Hussein. La recourante n'a plus à redouter des persécutions en raison de son opposition à ce dernier. On ne saurait toutefois affirmer que les circonstances se soient objectivement modifiées au point qu'il faille exclure tout risque de persécution future pour cette dernière et ses enfants.</w:t>
      </w:r>
    </w:p>
    <w:p>
      <w:r>
        <w:rPr>
          <w:b/>
        </w:rPr>
        <w:t>E. 3.2.1</w:t>
      </w:r>
    </w:p>
    <w:p>
      <w:r>
        <w:t>Ceux-ci font dans leur recours reproche à l'ODM de n'avoir pas pris en compte les risques de persécutions auxquels ils étaient exposés en raison de leur appartenance à la minorité chrétienne. Ils soutiennent que les chrétiens font l'objet, en Irak, et en particulier dans la région de Kirkouk, de toutes sortes d'exactions de la part de fanatiques musulmans, que les autorités kurdes, qui exercent un pouvoir quasi-étatique dans la région, tolèrent largement cette situation, ce malgré l'antagonisme entre Kurdes et Arabes et que ces autorités n'ont pas la capacité, ni même la volonté, de leur apporter une protection adéquate. Ils soulignent également que A._______ comme sa fille, seraient, en tant que femmes, plus particulièrement exposées à des persécutions.</w:t>
      </w:r>
    </w:p>
    <w:p>
      <w:r>
        <w:rPr>
          <w:b/>
        </w:rPr>
        <w:t>E. 3.2.2</w:t>
      </w:r>
    </w:p>
    <w:p>
      <w:r>
        <w:t>Il est vrai que la situation des chrétiens en Irak a considérablement empiré depuis 2003. Si cette observation est valable pour l'ensemble du territoire, il convient toutefois de noter que cette minorité n'est pas victime d'actes de violence ou de persécution systématiques dans les trois provinces kurdes du nord de l'Irak, même s'il est fait état d'attaques isolées, d'autres difficultés, voire d'une certaine discrimination de la part des autorités (cf. notamment ATAF 2008/4 consid. 6.6.6 ; Michelle Zumhofen, Situation des minorités religieuses dans les provinces de Souleymanieh, Erbil et Dohouk, administrées par le gouvernement régional du Kurdistan, rapport OSAR, Berne, 10 janvier 2008). Les attaques les plus sévères contre la minorité chrétienne se concentrent essentiellement au centre et au sud de l'Irak ; elles sont spécialement violentes et nombreuses dans les territoires dits controversés, sis dans les provinces de Ninive et d'Al-Tamim, qui font partie du centre de l'Irak mais qui sont, du moins en partie, administrées de facto par les autorités kurdes, en particulier les villes de Mossoul et de Kirkouk (cf. ATAF 2008/12 analysant la situation dans le centre de l'Irak, mais excluant de l'examen ces villes, lesquelles se trouvaient de facto sous contrôle des autorités kurdes), étant précisé que la situation a changé à Mossoul, où les Kurdes ont perdu la majorité lors des dernières élections provinciales du 30 janvier 2009, remportées dans cette ville par la liste arabe modérée Al-Hadba (cf. par ex. Neue Zürcher Zeitung, 6 février 2009). Dans ces villes, les attaques ont pris de plus en plus une dimension politique. En effet, ces territoires controversés, où vivent de nombreuses minorités ethniques et religieuses, ont fait l'objet, jusqu'en 2003, d'une politique d'arabisation qui a conduit à l'expropriation et à l'expulsion de nombreuses familles kurdes et à leur remplacement par des familles sunnites et surtout chiites en provenance de régions situées plus au sud. Avec le changement de régime et leur prise de contrôle par les autorités majoritairement kurdes, ces territoires ont connu une campagne de "kurdisation" qui visait non seulement à la réinstallation des Kurdes qui en avaient été chassés, mais aussi à augmenter à terme les chances d'un rattachement au Kurdistan irakien; il s'en est suivi un exode des arabes chiites qui s'étaient installés dans ces villes dans les dernières années du régime de Saddam Hussein. Les minorités ethniques et religieuses sont particulièrement affectées par les tensions créées par le conflit autour du futur statut de ces territoires. Les autorités kurdes de ces territoires, qui revendiquent leur rattachement aux provinces dirigées par le gouvernement régional du Kurdistan irakien, pratiquent, là où elles exercent le pouvoir, une politique d'assimilation de tous ceux qu'elles peuvent enregistrer comme citoyens kurdes pour grossir les rangs de leur électorat. Le vide sécuritaire, le climat d'impunité, l'islamisation de la société et la radicalisation des Arabes et des Kurdes, du moins d'une partie d'entre eux, a conduit au développement de milices kurdes et arabes qui s'affrontent entre elles et qui, à l'instar de nombreuses bandes criminelles qui se servent de la religion et de la politique pour légitimer leurs actes, s'en prennent souvent aux minorités non-musulmanes, plus vulnérables (cf. ATAF 2008/4 précité, consid. 6.3 p. 42ss ; Michelle Zumhofen, p. cit. spéc. p. 12ss). Comme d'autres minorités, les chrétiens font l'objet de toutes sortes d'agressions visant à leur extorquer des fonds (paiement de la jizya) par tous les moyens imaginables et les pousser à la conversion par les édits religieux (fatwa), voire à l'assimilation ou la fuite. Les femmes sont particulièrement victimes de cette situation, car elles se voient contraintes de se soumettre aux sévères prescriptions islamiques en matière de comportement et d'habillement (cf. UNHCR's Eligiblity Guidelines for Assessing the International Protection Needs for Iraqi Asylum-Seekers, août 2007, p. 47-121). La ville de Mossoul, chef-lieu de la province de Ninive, où la présence islamiste est particulièrement forte, a été le théâtre entre la fin du mois de septembre et la mi-octobre 2008 d'une campagne particulièrement violente de propagande anti-chrétienne et d'agressions à l'origine de la fuite, en quelques jours, de milliers de familles appartenant à cette communauté, dont beaucoup se sont réfugiées dans des villages chrétiens de la plaine de Ninive (cf. AFP 11.10.2008). La situation dans la région très disputée de Kirkouk, chef-lieu multiethnique de la province d'Al-Tamim, est plus complexe. Cette ville, sise dans une région pétrolifère, et où les communautés kurdes, arabes sunnites et chiites et turkmènes, regroupées pour la plupart dans des quartiers où elles sont devenues majoritaires, s'entre-déchirent sous la pression des extrémistes, comprend encore une communauté non négligeable de chrétiens. Parce qu'ils sont moins nombreux et plus vulnérables, ceux-ci y font l'objet de menaces, de vols, d'enlèvements, de meurtres ou encore d'attentats qui se multiplient. Le Tribunal estime pouvoir s'abstenir de procéder, dans le cas concret, à une analyse plus poussée de la situation générale des chrétiens dans la ville de Kirkouk. Il arrive en effet à la conclusion que les recourants seraient personnellement exposés à un risque sérieux de préjudices, en raison de leur situation personnelle, et ce sans trancher la question de savoir si toute personne appartenant à la minorité chrétienne y serait exposée de manière analogue.</w:t>
      </w:r>
    </w:p>
    <w:p>
      <w:r>
        <w:rPr>
          <w:b/>
        </w:rPr>
        <w:t>E. 3.2.3</w:t>
      </w:r>
    </w:p>
    <w:p>
      <w:r>
        <w:t>Il sied en effet de souligner qu'en tant qu'arabe chrétienne, femme non remariée et, par sa profession (médecin), certainement considérée comme appartenant à une classe aisée, la recourante serait, à plusieurs titres, exposée à un risque, en cas de retour dans sa ville d'origine, d'être à nouveau à la merci de menaces émanant de l'un ou l'autre des acteurs en présence, en particulier de la part de milieux musulmans radicaux. Ainsi, il est notoire que certains islamistes poursuivent les familles chrétiennes afin qu'elles leur cèdent leur fille (cf. Paul Tiedemann, Nichtmuslimische Minderheiten im Irak - Ein Reisebericht, octobre 2007, Informationsverbund Asyl, Asyl-Magazin 11/2007) ; les femmes, en particulier celles qui vivent seules, sont exposées à un risque accru d'être victimes de pressions et d'agressions, notamment pour non-respect des codes vestimentaires et comportementaux ; par ailleurs, les représentants de certaines professions, comme les médecins, sont également dans une position vulnérable, en particulier lorsque leurs convictions politiques, réelles ou supposées, ou encore leur appartenance religieuse pourrait conduire certains groupes à les assimiler à l'ennemi américain ou lorsque leur situation financière présumée aisée est susceptible d'attirer les convoitises (cf. UNHCR Hinweise zur Festellung des internationalen Schutzbedarfs irakischer Asylbewerber, Berlin, septembre 2007). Ainsi, il y a lieu dans le cas concret de tenir compte, outre un risque de préjudices à raison de l'appartenance religieuse, des motifs de fuite spécifiques aux femmes (cf. art. 3 al. 2 i.f. LAsi). Enfin, le Tribunal doit également prendre en considération les persécutions antérieurement subies par A._______ et les sérieux préjudices dont elle a été victime par le passé, lesquelles lui confèrent des raisons objectives d'avoir une crainte (subjective) plus prononcée qu'une personne qui n'a jamais été victime d'une persécution (cf. consid. 2.4. ci-dessus).</w:t>
      </w:r>
    </w:p>
    <w:p>
      <w:r>
        <w:rPr>
          <w:b/>
        </w:rPr>
        <w:t>E. 3.2.4</w:t>
      </w:r>
    </w:p>
    <w:p>
      <w:r>
        <w:t>Compte tenu des tensions régnant à Kirkouk, on ne saurait affirmer que les recourants pourraient y obtenir en cas de retour une protection appropriée, au sens de la jurisprudence (cf. JICRA 2006 no 18 consid. 10.3. p. 203ss). A cet égard, il importe peu de savoir si, de facto, les autorités (majoritairement) kurdes exercent pleinement la puissance publique dans la région de provenance des recourants (question non traitée dans la décision de principe précitée, publiée sous ATAF 2008/12 en partic. consid. 6.1). Quoi qu'il en soit, vu le contexte politique, vu le caractère volatile de la situation, le statut disputé de la ville et les rivalités qu'elle suscite, on ne saurait affirmer que la recourante pourrait compter, à Kirkouk, sur des institutions étatiques ou quasi-étatiques revêtant une certaine stabilité et durabilité, aptes à lui apporter une protection efficace et auxquelles il serait légitime qu'elle fasse appel. Dans un tel contexte, il doit être considéré que lesdites autorités, à supposer qu'elles en aient la volonté, n'ont, en tous les cas, pas la possibilité d'apporter à A._______ une protection appropriée. Le même raisonnement vaut pour ses enfants faisant l'objet du présent recours, exposés à un risque analogue en raison de leur appartenance ethnique, religieuse et culturelle, de leur situation personnelle, voire par effet réflexe, en raison du profil socio-économique de leur mère.</w:t>
      </w:r>
    </w:p>
    <w:p>
      <w:r>
        <w:rPr>
          <w:b/>
        </w:rPr>
        <w:t>E. 3.2.5</w:t>
      </w:r>
    </w:p>
    <w:p>
      <w:r>
        <w:t>Enfin, le Tribunal ne saurait en l'espèce conclure à une possibilité, pour A._______ et ses enfants, de fuir le risque de persécution en s'installant dans l'une des provinces kurdes du nord de l'Irak. Dans un arrêt de principe, il a considéré que les forces de l'ordre et les autorités judiciaires des trois provinces kurdes du nord de l'Irak avaient, en principe, la capacité et la volonté de protéger les habitants de ces entités contre les persécutions et que les chrétiens pouvaient, en règle générale, y compter sur une large tolérance de la majorité musulmane et pratiquer leur religion (cf. ATAF 2008/4 précité). Encore faut-il toutefois, pour que l'existence d'un refuge interne soit admise, que la personne intéressée puisse obtenir une protection efficace dans une autre partie du pays, notamment qu'elle puisse s'y installer sans crainte d'être astreinte à retourner vers sa région de provenance (cf. JICRA 1996 n° 1). Le fardeau de la preuve échoit sur ce point à l'autorité. En l'occurrence, le Tribunal estime que, compte tenu de la situation particulière de la recourante et de ses enfants, il n'est pas certain que ceux-ci puissent s'établir durablement dans une des provinces kurdes du nord. En effet, le fait que de nombreux chrétiens ont pu trouver refuge dans ces régions ne signifie pas que l'on puisse présumer automatiquement que toute personne non kurde et non originaire de la région y dispose automatiquement de la liberté d'établissement (cf. aussi ATAF 2008/5 p. 57ss en partic. consid. 7.5.8 p. 72s traitant cependant de la question de l'exigibilité de l'exécution du renvoi). Il subsiste ainsi un doute certain, lequel doit profiter aux recourants, quant à la possibilité d'établissement de ces derniers dans une de ces provinces, étant rappelé que A._______ est veuve, chrétienne, accompagnée de ses enfants et qu'elle a quitté le pays depuis plusieurs années, ce qui rendrait probablement plus difficile la recherche d'une personne d'ethnie kurde pouvant servir de garant pour l'obtention d'une autorisation de domicile. Enfin, il est clair qu'au vu de la situation régnant dans le reste du pays, les recourants ne disposent pas non plus d'une alternative de refuge interne dans les provinces de l'Irak du centre et du sud (cf. ATAF 2008/12 précité, p. 149ss).</w:t>
      </w:r>
    </w:p>
    <w:p>
      <w:r>
        <w:rPr>
          <w:b/>
        </w:rPr>
        <w:t>E. 4</w:t>
      </w:r>
    </w:p>
    <w:p>
      <w:r>
        <w:t>Au vu de ce qui précède, la qualité de réfugiés doit être reconnue à A._______ et ses enfants, en application des art. 3 et 7 LAsi. Le dossier ne fait apparaître aucun élément susceptible de constituer un motif d'exclusion de la qualité de réfugiés au sens de l'art. 1 F de la Convention du 28 juillet 1951 relative au statut des réfugiés (Conv. réfugiés, RS 0.142.30). Par ailleurs, le dossier ne fait pas non plus apparaître d'éléments constitutifs d'un motif d'indignité, au sens de l'art. 53 LAsi. Partant, le recours doit être admis, la décision du 16 novembre 2005 annulée et le dossier renvoyé à l'ODM afin qu'il reconnaisse la qualité de réfugiés des recourants et, partant, leur octroie l'asile conformément à l'art. 2 LAsi.</w:t>
      </w:r>
    </w:p>
    <w:p>
      <w:r>
        <w:rPr>
          <w:b/>
        </w:rPr>
        <w:t>E. 5.1</w:t>
      </w:r>
    </w:p>
    <w:p>
      <w:r>
        <w:t>Vu l'issue de la procédure, il n'est pas perçu de frais (art. 63 al. 1 PA).</w:t>
      </w:r>
    </w:p>
    <w:p>
      <w:r>
        <w:rPr>
          <w:b/>
        </w:rPr>
        <w:t>E. 5.2</w:t>
      </w:r>
    </w:p>
    <w:p>
      <w:r>
        <w:t>Les recourants ayant obtenu gain de cause, il y a lieu de leur accorder des dépens en application de l'art. 64 al. 1 PA et des art. 7ss FITAF. Le mandataire des recourants a déposé en cause, le 23 décembre 2008, un décompte de prestations, portant un total de 16 heures de travail. Celui-ci n'est pas ventilé de manière à faire apparaître le nombre d'heures consacré à chacune des opérations portées en compte. Quoi qu'il en soit, le total des heures paraît exagéré au regard des interventions nécessitées par la présente procédure et il y a lieu de le modérer d'un quart. Le Tribunal estime qu'un total de douze heures est justifié et fixe ainsi à Fr. 2400.-, auxquels s'ajoute la TVA par Fr. 182,40, soit au total à Fr. 2'582,40, les dépens dûs aux recourants.</w:t>
      </w:r>
    </w:p>
    <w:p>
      <w:r>
        <w:rPr>
          <w:b/>
        </w:rPr>
        <w:t>E. 5.3</w:t>
      </w:r>
    </w:p>
    <w:p>
      <w:r>
        <w:t>Les dépens couvrant les frais et honoraires indispensables de l'avocat d'office, il n'y a pas lieu de lui allouer, en sus, un montant en rémunération de ses prestations.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