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E-4122/2016 vom 16. August 2016</w:t>
      </w:r>
    </w:p>
    <w:p>
      <w:r>
        <w:t>Bundesverwaltungsgericht, 2016-08-16, DE</w:t>
      </w:r>
    </w:p>
    <w:p>
      <w:r>
        <w:rPr>
          <w:b/>
        </w:rPr>
        <w:t xml:space="preserve">Quelle: </w:t>
      </w:r>
      <w:r>
        <w:t>https://mcp.opencaselaw.ch/entscheid/bvger_E-4122_2016</w:t>
      </w:r>
    </w:p>
    <w:p>
      <w:r>
        <w:t>FR: TAF E-4122/2016 du 16 août 2016</w:t>
      </w:r>
    </w:p>
    <w:p>
      <w:r>
        <w:t>IT: TAF E-4122/2016 del 16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1.4</w:t>
      </w:r>
    </w:p>
    <w:p>
      <w:r>
        <w:t>Gestützt auf Art. 33a Abs. 2 VwVG wird das Verfahren in deutscher Sprache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und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7 AsylG an die Glaubhaftmachung eines Asyl begründenden Sachverhalts nicht genügend, weshalb der Beschwerdeführer die Flüchtlingseigenschaft nach Art. 3 AsylG nicht erfülle. So seien die Asylgründe als solche nicht übereinstimmend dargelegt worden. Aber auch die Schilderungen der einzelnen Verfolgungsvorbringen seien in wesentlichen Punkten widersprüchlich, unsubstanziiert, detailarm, inkohärent und unlogisch ausgefallen. Widersprüche seien ebenso betreffend sein Verhalten während seiner Bedrohungslage und betreffend das Bestehen einer Verfolgungssituation bei seinen Geschwistern aufgetreten. Die Ungereimtheiten habe er weder überzeugend noch stichhaltig auszuräumen vermocht, sondern sich in weitere Widersprüche verstrickt. An diesen Erkenntnissen vermöchten die vorgelegten Beweismittel nichts zu ändern; insbesondere datierten die Videos aus dem Jahre 2013, mithin zwei Jahre vor der Ausreise. Angesichts der Unglaubhaftigkeit der Vorbringen erübrige sich eine Prüfung ihrer flüchtlingsrechtlichen Beachtlichkeit. Die Wegweisung sei die Regelfolge der Ablehnung des Asylgesuchs und die vorläufige Aufnahme gründe in der Unzumutbarkeit des Wegweisungsvollzuges infolge der prekären Sicherheitslage in Syrien.</w:t>
      </w:r>
    </w:p>
    <w:p>
      <w:r>
        <w:rPr>
          <w:b/>
        </w:rPr>
        <w:t>E. 5.2</w:t>
      </w:r>
    </w:p>
    <w:p>
      <w:r>
        <w:t>In seiner Rechtsmitteleingabe macht der Beschwerdeführer geltend, seine Ansprüche auf Akteneinsicht und rechtliches Gehör seien dadurch verletzt, dass aus der pauschalen Bezeichnung der ihm zur Einsicht verweigerten Akten A16, A17, A18 und A27 ("Mailverkehr", "Rapport intern", "Notice interne") nicht ersichtlich werde, worum es bei diesen Dokumenten gehe und ob diese mithin zurecht als intern bezeichnet worden seien; das SEM sei insoweit seiner Paginierungs- und Aktenführungspflicht nicht ausreichend nachgekommen. Weiter sei ihm die vom SEM als "unwesentlich" bezeichnete Akte A19 ("Mitteilung an HV") begründungslos zur Einsicht verweigert worden, womit auch diesbezüglich das Akteneinsichtsrecht verletzt sei. Ferner seien die eingereichten Beweismittel (insb. Fotos, Videos, USB-Stick) nirgends im Aktenverzeichnis aufgeführt, womit das SEM seine Paginierungs- und Aktenführungspflicht abermals verletzt habe. Das Akteneinsichtsrecht beinhalte nämlich praxisgemäss den Anspruch auf eine geordnete, übersichtliche und vollständige Aktenführung. In diesem Zusammenhang sei auch eine Verletzung des Willkürverbots festzustellen, weil das SEM die Beweismittel, obwohl sie in entscheidrelevanter Weise seine Demonstrationsteilnahmen und die Veröffentlichung des Bildmaterials im Internet belegten, nicht gewürdigt und nicht in die Gesamtbetrachtung der Glaubhaftigkeitsprüfung miteinbezogen habe. Sodann sei der Anspruch auf rechtliches Gehör dadurch verletzt, dass das SEM die Verknüpfung des Gefährdungsprofils des Beschwerdeführers mit den Asylverfahren seiner Eltern und zweier Brüder ignoriere und deren Dossiers für den vorliegenden Fall zu Unrecht nicht beigezogen, erfasst und gewürdigt habe. Ebenso habe das SEM nicht erwähnt und nicht gewürdigt, dass zahlreiche weitere Familienmitglieder, insbesondere zwei Onkel, aufgrund ihrer Verfolgung durch die syrischen Behörden Asyl in der Schweiz erhalten hätten; auch wegen diesen sei er nämlich zusätzlich im Visier der Behörden. Diese Verletzungen des rechtlichen Gehörs müssten praxisgemäss zwingend die Aufhebung der angefochtenen Verfügung zur Folge haben. Sodann habe das SEM mehrere wesentliche Vorbringen sachverhaltlich nicht erfasst, so seinen ehemaligen Ajnabi-Status und seine zahlreichen Demonstrationsteilnahmen in Syrien, die Mitgliedschaft seines Vaters bei der C._______ und dessen Artikelveröffentlichungen auf Facebook. Das SEM hätte weitere Abklärungen und insbesondere eine weitere Anhörung durchführen müssen. Zu bedenken im Zusammenhang mit der Abklärungspflicht seien zudem die Tatsachen, dass das SEM zwischen der Asylgesuchstellung und der Anhörung fast ein Jahr ungenutzt habe verstreichen lassen und die Anhörung unzumutbare fünf Stunden und 45 Minuten gedauert habe, unterbrochen von bloss zwei kurzen Pausen; dies verletze den Grundsatz eines fairen Verfahrens und abermals die Abklärungspflicht, zumal die Anhörung die wichtigste Grundlage für den Asylentscheid darstelle. Die weitere Beschwerdeargumentation richtet sich gegen die vorinstanzlich erkannten Unglaubhaftigkeitselemente und befasst sich mit der aus Sicht des Beschwerdeführers klar zu bejahenden Frage der flüchtlingsrechtlichen Beachtlichkeit der von ihm befürchteten Nachteile. Diesbezüglich kann angesichts des aus formellen Gründen erfolgenden Kassationsausganges dieses Beschwerdeverfahrens auf die Beschwerdeschrift verwiesen werden. Auch für den weiteren Inhalt der Beschwerde ist einstweilen auf die Akten zu verweisen, soweit darauf nicht in den nachfolgenden Erwägungen besonders eingegangen wird.</w:t>
      </w:r>
    </w:p>
    <w:p>
      <w:r>
        <w:rPr>
          <w:b/>
        </w:rPr>
        <w:t>E. 6.1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 Eine allfällige Einschränkung des Akteneinsichtsrechts gegenüber dem um Einsicht Ersuchenden ist grundsätzlich zulässig, muss aber nach Art. 27 VwVG konkret begründet sein und sich im Rahmen der Verhältnismässigkeitsprüfung auf das Erforderliche beschränken. Die genannten Grundsätze sind vorliegend in mehrfacher Hinsicht verletzt, wie sich aus nachfolgenden Erwägungen ergibt.</w:t>
      </w:r>
    </w:p>
    <w:p>
      <w:r>
        <w:rPr>
          <w:b/>
        </w:rPr>
        <w:t>E. 6.2.1</w:t>
      </w:r>
    </w:p>
    <w:p>
      <w:r>
        <w:t>Der Beschwerdeführer macht geltend, aus der pauschalen Bezeichnung der ihm zur Einsicht verweigerten Akten A16, A17, A18 und A27 werde nicht ersichtlich, worum es bei diesen Dokumenten gehe und ob diese mithin zurecht als intern bezeichnet worden seien; das SEM sei insoweit seiner Paginierungs- und Aktenführungspflicht nicht ausreichend nachgekommen. Die Akten A16 und A17 sind im Aktenverzeichnis je mit "Mailverkehr" bezeichnet, die Akte A18 mit "Rapport intern". Zwar wäre eine etwas genauere Bezeichnung - beispielsweise "SEM-interner Mailverkehr" oder "Rapport betreffend prozessualem Vorgehen" wünschenswert. Die Bezeichnung dieser Akten als intern und somit nicht editionspflichtig ist aber vorliegend gesetzes- und praxiskonform (vgl. BGE 115 V 303, wonach in interne Akten, die von der verfügenden Behörde ausschliesslich für den Eigengebrauch beziehungsweise für die interne Entscheidfindung erstellt werden, wie beispielsweise Notizen zuhanden einer Drittperson innerhalb der Behörde, Anträge oder Entscheidentwürfe keine Einsicht zu gewähren ist; BVGE 2011/37 E. 5.4.1) und in keiner Weise zu beanstanden. Daraus folgt wiederum, dass die Bezeichnung der betreffenden Aktenstücke im Aktenverzeichnis nicht einen derart konkreten und detaillierten Substanziierungsgrad aufweisen kann und darf, dass damit eben gerade die Qualität als Internum unterhöhlt würde. Der Grundsatz des rechtlichen Gehörs würde ad absurdum geführt, wenn er einen Anspruch auf weitgehende Einsicht in ein als intern bezeichnetes Aktenstück beinhalten würde, um dadurch die Rechtmässigkeit der Qualifizierung als Internum überprüfen zu können. Das Gesagte gilt grundsätzlich ebenso für das im Aktenverzeichnis als "Notice interne" bezeichnete Aktenstück A27. Zu bemängeln ist dabei aber von Amtes wegen, dass dieses Aktenstück zwar in den Akten vorhanden, aber nicht paginiert ist.</w:t>
      </w:r>
    </w:p>
    <w:p>
      <w:r>
        <w:rPr>
          <w:b/>
        </w:rPr>
        <w:t>E. 6.2.2</w:t>
      </w:r>
    </w:p>
    <w:p>
      <w:r>
        <w:t>Weiter sei dem Beschwerdeführer die vom SEM als "unwesentlich" bezeichnete Akte A19 ("Mitteilung an HU") begründungslos zur Einsicht verweigert worden, womit auch diesbezüglich das Akteneinsichtsrecht verletzt sei. Es trifft zu, dass das Aktenstück im Begleitschreiben des SEM vom 3. Juni 2016 nicht explizit aufgeführt ist. Die Rüge ist aber insoweit nicht stichhaltig, als die aus dem Aktenverzeichnis ersichtliche Bezeichnung "unwesentlich" (Code D) per se eine Begründung für die Nichtedition darstellt und als solche auch durchaus Sinn machen kann, beispielsweise aus ökologischen oder prozessökonomischen Gründen. Das Akteneinsichtsrecht des Beschwerdeführers ist aber vorliegend dennoch verletzt, weil dieser am 1. Juni 2016 explizit um vollständige Einsicht in die gesamten Asylakten ersucht hat. Die Unwesentlichkeit ist diesfalls somit kein zulässiger Einsichtsverweigerungsgrund.</w:t>
      </w:r>
    </w:p>
    <w:p>
      <w:r>
        <w:rPr>
          <w:b/>
        </w:rPr>
        <w:t>E. 6.2.3</w:t>
      </w:r>
    </w:p>
    <w:p>
      <w:r>
        <w:t>Die Rüge einer Verletzung der Paginierungs- und Aktenführungspflicht dadurch, dass die eingereichten Beweismittel (insb. Fotos, Videos, USB-Stick) nirgends im Aktenverzeichnis aufgeführt seien, ist vorliegend ebenfalls berechtigt: Zwar geht die Aktennahme dieser Beweismittel am 30. März 2016 aus den Akten hervor (vgl. A26). Die Beweismittel selber hat das SEM in ein Beweismittelcouvert abgelegt und sie darauf vermerkt ("6x photographies, 5x videos"). Das Beweismittelcouvert ist aber wiederum nicht paginiert und erscheint auch nicht im Aktenverzeichnis. Das Couvert und die darin enthaltenen Beweismittel konnten daher auch gar nicht Gegenstand der Akteneinsichtsgewährung an den Beschwerdeführer bilden, obwohl dieser ausdrücklich auch um in von ihm eingereichte Beweismittel ersuchte und hierauf einen uneingeschränkten Anspruch hat (vgl. Art. 27 Abs. 3 VwVG). Dies gilt ebenso für die von ihm abgegebene Identitätskarte. Diese wurde in der Sichttasche des N-Dossiers abgelegt. Diese Praxis ist nicht als solche bereits rechtswidrig, zumindest wenn die Aktennahme eines Ausweisdokuments sonstwie aus den Akten hervorgeht. Würden aber Identitätsdokumente zusätzlich in Kopieform im Beweismittelumschlag abgelegt und dort der Ablageort des Originals vermerkt, wäre auch die Pflicht des SEM zur ordnungsgemässen Aktenführung, Paginierung und Aufnahme ins Aktenverzeichnis eingehalten und eine beantragte Einsicht in eigene Beweismittel, wozu eben auch abgegebene Identitätsdokumente gehören, würde nicht regelmässig verletzt (vgl. dazu auch das Urteil des Bundesverwaltungsgerichts E-2454/2016 vom 7. Juni 2016 E. 6.2).</w:t>
      </w:r>
    </w:p>
    <w:p>
      <w:r>
        <w:rPr>
          <w:b/>
        </w:rPr>
        <w:t>E. 6.2.4</w:t>
      </w:r>
    </w:p>
    <w:p>
      <w:r>
        <w:t>Der Beschwerdeführer macht weiter geltend, sein Anspruch auf rechtliches Gehör sei dadurch verletzt, dass das SEM die Verknüpfung des Gefährdungsprofils des Beschwerdeführers mit den Asylverfahren seiner Eltern und zweier Brüder ignoriere und deren Dossiers für den vorliegenden Fall zu Unrecht nicht beigezogen und gewürdigt habe. Ebenso habe das SEM nicht erwähnt und nicht gewürdigt, dass weitere Familienmitglieder, insbesondere zwei Onkel, aufgrund ihrer Verfolgung durch die syrischen Behörden Asyl in der Schweiz erhalten hätten; auch wegen diesen sei er nämlich zusätzlich im Visier der Behörden. Aus den vorinstanzlichen Akten ist nicht ersichtlich, ob das SEM für den vorliegenden Asylentscheid die Asylverfahrensakten der Familienangehörigen und zwei Onkel des Beschwerdeführers tatsächlich beigezogen hat. Das bloss rein hypothetisch denkbare Vorliegen eines Verfolgungszusammenhanges reicht mit Bestimmtheit nicht, um einen Aktenbeizug zu indizieren. Dagegen können das konkrete Geltendmachen einer entsprechenden Reflexverfolgung, ferner die zuerkannte Flüchtlingseigenschaft von engen Verwandten, aber auch objektive Gründe Anlass für einen Aktenbeizug von Amtes wegen geben und sich gar aufdrängen. Diesfalls müsste der Beizug auch seinen Niederschlag im Asylentscheid respektive vorgängig im Rahmen der Gewährung des rechtlichen Gehörs finden, dies mittels Erwähnung des erfolgten Beizugs sowie der Mitteilung und Begründung des Beizugsergebnisses. Dass vorliegend eine mangelhafte Sachverhaltsfeststellung und eine Verletzung des Anspruchs auf rechtliches Gehör in Form eines zu Unrecht unterlassenen Aktenbeizuges vorliegt, ist angesichts des vom Beschwerdeführer geltend gemachten Verfolgungszusammenhanges (insbesondere mit der Verfolgung des Vaters und zweier [...] Brüder) augenfällig. Das SEM wird sich nach Wiederaufnahme des erstinstanzlichen Verfahrens insbesondere an die in den Urteilen E-1417/2016 vom 6. Mai 2016 E. 6.2 f., E-8390/2015 vom 15. März 2016 E. 6.3.3 und D-3242/2014 vom 3. Dezember 2014 E. 5 konkretisierten Leitplanken betreffend Aktenbeizüge zu halten und eine zeitliche und sachliche Koordination konnexer Verfahren zu prüfen haben (vgl. dazu wiederum das Urteil des Bundesverwaltungsgerichts E-2454/2016 vom 7. Juni 2016 E. 6.4 sowie E-1417/2016 vom 6. Mai 2016 E. 6.3). Übrigens hat das SEM selber den Koordinierungsbedarf bereits in seinem (internen) Aktenstück A16 erkannt, ihn aber aus unbekannten Gründen nicht umgesetzt.</w:t>
      </w:r>
    </w:p>
    <w:p>
      <w:r>
        <w:rPr>
          <w:b/>
        </w:rPr>
        <w:t>E. 6.2.5</w:t>
      </w:r>
    </w:p>
    <w:p>
      <w:r>
        <w:t>Gemäss Beschwerdeschrift habe das SEM sodann mehrere wesentliche Vorbringen sachverhaltlich nicht erfasst, so seinen ehemaligen Ajnabi-Status und seine zahlreichen Demonstrationsteilnahmen in Syrien, die Mitgliedschaft seines Vaters bei der C._______ und dessen Artikelveröffentlichungen auf Facebook. Das SEM hätte weitere Abklärungen und insbesondere eine weitere Anhörung durchführen müssen. Der vom SEM in der angefochtenen Verfügung wiedergegebene Verfolgungssachverhalt ist in der Tat überaus kurz ausgefallen, auch unter Berücksichtigung des Umstandes, dass in den Erwägungen ansatzweise weitere Sachverhaltstselemente zur Sprache kommen. Die Komprimierung eines über insgesamt rund dreissig Protokollseiten vorgetragenen Verfolgungssachverhalts auf noch knapp 3 Zeilen (s. angefochtene Verfügung Ziff. I/2, letzter Abschnitt), drängt die Annahme einer unvollständigen Sachverhaltsfeststellung geradezu auf. Mit der betreffenden Rüge und ebenso mit jener einer behauptungsgemäss willkürlich unterlassenen Beachtung und Würdigung der eingereichten Beweismittel wird sich das SEM jedoch im Rahmen des ohnehin wiederaufzunehmenden erstinstanzlichen Verfahrens zu befassen haben. Dannzumal wird sich auch weisen, ob eine weitere Anhörung angezeigt sein wird. Klarzustellen ist in diesem Zusammenhang immerhin, dass die Anhörung vom 22. März 2016 den Grundsatz der Verfahrensfairness entgegen der anderslautenden Auffassung des Beschwerdeführers nicht verletzt und das Protokoll durchaus verwertbar ist. Die Anhörungsdauer von 5¾ Stunden erscheint zwar auf den ersten Blick recht lang, ist aber angesichts zweier integrierter Pausen von insgesamt einer Stunde keineswegs unzumutbar. Zudem sind weder aus dem Protokoll selber noch aus dem Bestätigungsblatt der beobachtenden Hilfswerksvertretung irgendwelche kognitiven Beeinträchtigungen beim Beschwerdeführer eruierbar. Solche oder konkrete andere Unzumutbarkeitsgründe werden auch nicht geltend gemacht. Auch der Umstand einer neunmonatigen Differenz zwischen Asylgesuch und Anhörung steht dem Fairnessgrundsatz und der Verwertbarkeit des Protokolls in keiner Weise entgegen. Der zeitliche Abstand zwischen zwei Befragungen beziehungsweise Anhörungen kann immerhin gewissen Einfluss auf die rechtliche Würdigung von Widersprüchen und anderen Ungereimtheiten zwischen den beiden Protokollen haben.</w:t>
      </w:r>
    </w:p>
    <w:p>
      <w:r>
        <w:rPr>
          <w:b/>
        </w:rPr>
        <w:t>E. 6.2.6</w:t>
      </w:r>
    </w:p>
    <w:p>
      <w:r>
        <w:t>Von Amtes wegen sind jedoch weitere Beanstandungen unter dem Aspekt des Anspruchs auf rechtliches Gehör vorzunehmen: So fällt einmal eine kaum lesbare Handschrift bei der Paginierung insbesondere der Aktenstücke A10 ff. und eine teilweise unklare chronologische Abfolge in der Aktenführung auf. Das vom SEM erstellte Aktenstück A5 ist ferner nicht datiert. Zwei weitere Aktenstücke (Eingabe des Rechtsvertreters vom 31. August 2015 mit Eingang SEM am 1. September 2015 sowie "Convocation pour audition - Feuille de route" vom 22. Februar 2016) befinden sich zwar in den Akten, sind aber ebenfalls nicht paginiert und figurieren auch nicht im Aktenverzeichnis.</w:t>
      </w:r>
    </w:p>
    <w:p>
      <w:r>
        <w:rPr>
          <w:b/>
        </w:rPr>
        <w:t>E. 7</w:t>
      </w:r>
    </w:p>
    <w:p>
      <w:r>
        <w:t>Zusammenfassend ist festzustellen, dass die angefochtene Verfügung mehrere, zum Teil schwerwiegende und nicht heilbare Sachverhaltsfeststellungsfehler und Bundesrechtsverletzungen aufweist (Art. 106 Abs. 1 AsylG), die zur Aufhebung der angefochtenen Verfügung führen. Die Beschwerde ist insoweit gutzuheissen und die Sache ist an die Vorinstanz zurückzuweisen. Das SEM ist dabei gehalten, den Anspruch des Beschwerdeführers auf rechtliches Gehör zu wahren, den rechtserheblichen Sachverhalt vollständig und richtig abzuklären und zu erfassen und gestützt darauf sowie unter Mitberücksichtigung des Inhalts der vorliegenden Beschwerde einen neuen Entscheid zu fällen. Es ist, auch angesichts der nach Art. 106 Abs. 1 AsylG eingeschränkten Kognition, vorliegend nicht Sache des Bundesverwaltungsgerichts, die zahlreich aufgetretenen Mängel und Versäumnisse selber zu heilen und als letzte Instanz einen neuen, unter Umständen negativen Entscheid zu treffen, da der Instanzenverlust abermals eine Verletzung des Anspruchs auf rechtliches Gehörs bewirken würde (zur Frage der Heilbarkeit vgl. auch das Urteil des Bundesverwaltungsgerichts E-7452/2014 vom 13. Februar 2015 E. 6.5 mit weiteren Hinweisen). Am Rande ist ergänzend anzumerken, dass einige der oben erwähnten Verfahrensmängel - so die verweigerte Einsichtgabe in eigene Beweismittel von Beschwerdeführenden sowie die unterlassene Verfahrenskoordination bei Angehörigen mit Verfolgungszusammenhang - in der Praxis des SEM in einer gewissen Häufung regelmässig vorkommen. Der vorliegende kassatorische Entscheid rechtfertigt sich auch vor diesem Hintergrund.</w:t>
      </w:r>
    </w:p>
    <w:p>
      <w:r>
        <w:rPr>
          <w:b/>
        </w:rPr>
        <w:t>E. 8.1</w:t>
      </w:r>
    </w:p>
    <w:p>
      <w:r>
        <w:t>Bei diesem Ausgang des Verfahrens sind keine Kosten zu erheben (Art. 63 Abs. 1 und 2 VwVG). Das Gesuch um Verzicht auf die Erhebung von Verfahrenskosten nach Art. 65 Abs. 1 VwVG wird somit hinfällig.</w:t>
      </w:r>
    </w:p>
    <w:p>
      <w:r>
        <w:rPr>
          <w:b/>
        </w:rPr>
        <w:t>E. 8.2</w:t>
      </w:r>
    </w:p>
    <w:p>
      <w:r>
        <w:t>Dem vertretenen Beschwerdeführer ist angesichts seines Obsiegens im Kassationsantrag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1'500.-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