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E-4118/2011 vom 19. September 2011</w:t>
      </w:r>
    </w:p>
    <w:p>
      <w:r>
        <w:t>Bundesverwaltungsgericht, 2011-09-19, FR</w:t>
      </w:r>
    </w:p>
    <w:p>
      <w:r>
        <w:rPr>
          <w:b/>
        </w:rPr>
        <w:t xml:space="preserve">Quelle: </w:t>
      </w:r>
      <w:r>
        <w:t>https://mcp.opencaselaw.ch/entscheid/bvger_E-4118_2011</w:t>
      </w:r>
    </w:p>
    <w:p>
      <w:r>
        <w:t>FR: TAF E-4118/2011 du 19 septembre 2011</w:t>
      </w:r>
    </w:p>
    <w:p>
      <w:r>
        <w:t>IT: TAF E-4118/2011 del 19 settembre 2011</w:t>
      </w:r>
    </w:p>
    <w:p>
      <w:pPr>
        <w:pStyle w:val="Heading2"/>
      </w:pPr>
      <w:r>
        <w:t>Regeste</w:t>
      </w:r>
    </w:p>
    <w:p>
      <w:r>
        <w:t>Asile et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dans la mesure où il est recevable.</w:t>
      </w:r>
    </w:p>
    <w:p>
      <w:r>
        <w:rPr>
          <w:b/>
        </w:rPr>
        <w:t>E. 2</w:t>
      </w:r>
    </w:p>
    <w:p>
      <w:r>
        <w:t>Les frais judiciaires, s'élevant à Fr. 1'200.-, sont supportés par les intéressés.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Dit arrêt est adressé à la mandataire des recourants, à l'ODM, ainsi qu'à l'autorité cantonale compétente. Le juge unique : Le greffier : Maurice Brodard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