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E-4114/2016 vom 7. Juli 2017</w:t>
      </w:r>
    </w:p>
    <w:p>
      <w:r>
        <w:t>Bundesverwaltungsgericht, 2017-07-07, DE</w:t>
      </w:r>
    </w:p>
    <w:p>
      <w:r>
        <w:rPr>
          <w:b/>
        </w:rPr>
        <w:t xml:space="preserve">Quelle: </w:t>
      </w:r>
      <w:r>
        <w:t>https://mcp.opencaselaw.ch/entscheid/bvger_E-4114_2016</w:t>
      </w:r>
    </w:p>
    <w:p>
      <w:r>
        <w:t>FR: TAF E-4114/2016 du 7 juillet 2017</w:t>
      </w:r>
    </w:p>
    <w:p>
      <w:r>
        <w:t>IT: TAF E-4114/2016 del 7 luglio 2017</w:t>
      </w:r>
    </w:p>
    <w:p>
      <w:pPr>
        <w:pStyle w:val="Heading2"/>
      </w:pPr>
      <w:r>
        <w:t>Regeste</w:t>
      </w:r>
    </w:p>
    <w:p>
      <w:r>
        <w:t>Wegweisung Dublin (Ausländerrecht)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wobei das Gericht im Bereich der Wegweisungen aufgrund der Dublin-Assoziierungsabkommen (Art. 64a AuG) endgültig entscheidet (vgl. Art. 112 Abs. 1 AuG i.V.m. Art. 31 und 33 VGG sowie Art. 83 Bst. c Ziff. 4 BGG).</w:t>
      </w:r>
    </w:p>
    <w:p>
      <w:r>
        <w:rPr>
          <w:b/>
        </w:rPr>
        <w:t>E. 1.2</w:t>
      </w:r>
    </w:p>
    <w:p>
      <w:r>
        <w:t>Das Verfahren richtet sich nach dem VwVG, soweit das VGG oder das AuG nichts anderes bestimmen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Art. 64a Abs. 2 AuG und Art. 52 Abs. 1 VwVG). Auf die Beschwerde ist einzutreten.</w:t>
      </w:r>
    </w:p>
    <w:p>
      <w:r>
        <w:rPr>
          <w:b/>
        </w:rPr>
        <w:t>E. 2</w:t>
      </w:r>
    </w:p>
    <w:p>
      <w:r>
        <w:t>Die Kognition des Bundesverwaltungsgerichts und die zulässigen Rügen richten sich im Bereich des Ausländerrechts nach Art. 49 VwVG.</w:t>
      </w:r>
    </w:p>
    <w:p>
      <w:r>
        <w:rPr>
          <w:b/>
        </w:rPr>
        <w:t>E. 3</w:t>
      </w:r>
    </w:p>
    <w:p>
      <w:r>
        <w:t>Gemäss Art. 64a AuG setzt eine Wegweisungsverfügung gestützt auf diese Bestimmung den illegalen Aufenthalt der betroffenen Person in der Schweiz und die Zuständigkeit eines anderen, an das Dublin-Assoziierungsabkommen gebundenen Staates für die Durchführung des Asylverfahrens voraus.</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 Aus denselben Gründen ist es dem Gericht auch vorliegend nicht möglich, die sich im Zusammenhang mit einer Überstellung nach Ungarn stellenden Fragen abschliessend zu beurteilen. Die angefochtene Verfügung ist folglich aufzuheben und die Beschwerde gutzuheissen.</w:t>
      </w:r>
    </w:p>
    <w:p>
      <w:r>
        <w:rPr>
          <w:b/>
        </w:rPr>
        <w:t>E. 5</w:t>
      </w:r>
    </w:p>
    <w:p>
      <w:r>
        <w:t>Unabhängig vom Ausgang dieses Verfahrens ist festzustellen, dass der Beschwerdeführer anlässlich des Gesprächs vom 2. Juni 2016 bei der kantonalen Behörde zu Protokoll gab, er möchte in der Schweiz ein Asylgesuch stellen (Akten SEM K2/3 S.2). Demnach ist das SEM einzuladen, ein Verfahren im Sinne von Art. 31a Bst. b AsylG zu prüfen. Damit ist die erstinstanzliche Zuständigkeit nicht beim Kanton, sondern auf Bundesebene gegeben (Art. 88 der Verordnung über Zulassung, Aufenthalt und Erwerbstätigkeit vom 24. Oktober 2007 [VZAE]).</w:t>
      </w:r>
    </w:p>
    <w:p>
      <w:r>
        <w:rPr>
          <w:b/>
        </w:rPr>
        <w:t>E. 6</w:t>
      </w:r>
    </w:p>
    <w:p>
      <w:r>
        <w:t>Aufgrund des Ausgangs des Verfahrens sind keine Kosten aufzuerlegen (Art. 63 Abs. 1 und 2 VwVG).</w:t>
      </w:r>
    </w:p>
    <w:p>
      <w:r>
        <w:rPr>
          <w:b/>
        </w:rPr>
        <w:t>E. 7</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Die Rechtsvertreterin hat keine Kostennote eingereicht, so dass die Entschädigung aufgrund der Akten zu bestimmen und auf insgesamt Fr. 300.-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