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E-4110/2019 vom 26. August 2019</w:t>
      </w:r>
    </w:p>
    <w:p>
      <w:r>
        <w:t>Bundesverwaltungsgericht, 2019-08-26, DE</w:t>
      </w:r>
    </w:p>
    <w:p>
      <w:r>
        <w:rPr>
          <w:b/>
        </w:rPr>
        <w:t xml:space="preserve">Quelle: </w:t>
      </w:r>
      <w:r>
        <w:t>https://mcp.opencaselaw.ch/entscheid/bvger_E-4110_2019</w:t>
      </w:r>
    </w:p>
    <w:p>
      <w:r>
        <w:t>FR: TAF E-4110/2019 du 26 août 2019</w:t>
      </w:r>
    </w:p>
    <w:p>
      <w:r>
        <w:t>IT: TAF E-4110/2019 del 26 agosto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w:t>
      </w:r>
    </w:p>
    <w:p>
      <w:r>
        <w:t>Die Vorinstanz kommt in der angefochtenen Verfügung zum Schluss, Übergriffe Dritter oder Befürchtungen, künftig solchen ausgesetzt zu sein, seien nur dann asylrelevant, wenn der Staat seiner Schutzpflicht nicht nachkomme oder nicht in der Lage sei, Schutz zu gewähren. Der Beschwerdeführer habe es unterlassen, die Behörden um Schutz zu ersuchen. Er habe dargelegt, er sei nicht zur Polizei gegangen, da diese mit der Partei FLN zusammenarbeite. Auch als er nach seinem Autounfall durch die Polizei befragt worden sei, habe er die wahren Hintergründe nicht erwähnt, mit der Erklärung, er habe das Problem nicht noch grösser machen wollen. Er habe sich auch sonst an niemanden gewandt. Diese Erklärungsversuche seien jedoch als Schutzbehauptungen einzustufen und würden an der Tatsache, dass es im vorliegenden Fall keine Hinweise auf eine Verweigerung staatlichen Schutzes gebe, nichts ändern. Da er zudem gar nicht erst den Versuch unternommen habe, bei den algerischen Behörden um Schutz zu ersuchen, könne diesen auch nicht mangelnder Schutzwille vorgeworfen werden. Dass diese entgegen den Aussagen durchaus unabhängig von der FLN seien, werde durch seinen Freispruch im Jahre 2014 belegt. An dieser Feststellung würden auch die in Aussicht gestellten Originale des Parteiausweises und des Gerichtsurteils von 2014 nichts ändern, zumal die Asylgründe aufgrund fehlender Asylrelevanz und nicht wegen mangelnder Glaubwürdigkeit abzulehnen seien. Im Entscheidentwurf des SEM sei nicht - wie von der Rechtsvertretung in der Stellungnahme zu diesem behauptet - bloss aufgrund seines Freispruchs im Jahr 2014 von der Schutzwilligkeit der algerischen Behörden ausgegangen worden, sondern diese Tatsache sei am Schluss der Erwägungen lediglich als ein zusätzliches Indiz dafür erwähnt worden, dass die FLN und die Behörden nicht zusammenarbeiten würden. Im Weiteren sei nicht bestritten worden, dass die FLN eine der mächtigsten Parteien Algeriens sei; beispielsweise sei aber seit 11. März 2019 der parteilose Noureddine Bedoui Premierminister des Landes und seit 2. April 2019 Abdelkader Bensalah von der Partei RND Staatspräsident Algeriens. Überdies habe der Beschwerdeführer im Rahmen der Anhörung klar verneint, je in Haft gewesen zu sein.</w:t>
      </w:r>
    </w:p>
    <w:p>
      <w:r>
        <w:rPr>
          <w:b/>
        </w:rPr>
        <w:t>E. 5.1</w:t>
      </w:r>
    </w:p>
    <w:p>
      <w:r>
        <w:t>Nach Prüfung der Akten durch das Gericht ist in Übereinstimmung mit der Vorinstanz festzustellen, dass die Asylvorbringen des Beschwerdeführers den Anforderungen an die Flüchtlingseigenschaft gemäss Art. 3 AsylG nicht standzuhalten vermögen, weshalb vorab auf die zutreffenden Erwägungen der Vorinstanz zu verweisen ist (E. 4). Die Beschwerdevorbringen sind nicht geeignet, zu einer von der Vorinstanz abweichenden Betrachtungsweise zu gelangen. Die vorinstanzliche Schlussfolgerung ist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eine Gehörsverletzung ist nicht ersichtlich. Die entsprechenden Rügen sind unbegründet. 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Nach den Erkenntnissen des Gerichts ist - auch unter Berücksichtigung der aktuellen Lage vor Ort - davon auszugehen, dass die algerischen Sicherheitsbehörden grundsätzlich schutzfähig und schutzwillig sind (vgl. Urteile BVGer E-2533/2019 vom 29. Mai 2019 E. 6.1, E-1826/2019 vom 27. Mai 2019 E. 6.3, E-6848/2018 vom 18. Dezember 2018 E. 5.3). Aus den Akten ergeben sich keine Anhaltspunkte dafür, dass der Schutz des Beschwerdeführers in Algerien vor den Mafiosi durch die dortigen Behörden nicht gewährleistet sein könnte. Eine gescheiterte Inanspruchnahme des Schutzes ist aufgrund der Aussagen des Beschwerdeführers auszuschliessen. Dass hinter den Mafiosi die Machthaber stehen und der Beschwerdeführer deshalb keinen Schutz erhalten soll, ist eine reine, durch nichts belegte Vermutung. Es trifft zwar zu, dass die politische Lage in Algerien immer wieder angespannt ist, dies lässt aber nicht den Schluss zu, dass die zuständigen Behörden dem Beschwerdeführer gegenüber keinen Schutzwillen aufbrächten. Dass der Beschwerdeführer keinen Politmalus zu befürchten hat, zeigt bereits das Verfahren aus dem Jahr 2014, in dem er freigesprochen wurde. Schliesslich ist die Partei des Beschwerdeführers seit 2012 eine offiziell anerkannte politische Partei, die sowohl in der siebten, als auch in der aktuellen achten Legislaturperiode zwei Mandate in der Assemblée Populaire Nationale innehat (Algérie 1, Le Parti des Jeunes participera aux élections locales, 30.09.2012, https://www.algerie1.com/politique/le-parti-des-jeunes-participera-aux-elections-locales, abgerufen am 20.08.2019; Assemblée Populaire Nationale, [Politische Zugehörigkeit: Partei der Jungen], www.apn.dz/ar/les-membres-ar/membres-7eme-legislature-ar/presentation-nominative-par-membresar/search-by/appartenance-partisane?value= , abgerufen am 20.08.2019; Assemblée Populaire Nationale, Appartenance Partisane: PARTI DES JEUNES, undatiert, www.apn.dz/fr/wf_menu_config/les-membres/2017-05-31-10-06-09/les-membres-de-la-8emelegislature/search-by/appartenance--partisane?value=PARTI%20DES%20JEUNES, abgerufen am 20.08.2019). Die auf Beschwerdeebene eingereichten Beweismittel sind nicht geeignet, am Beweisergebnis etwas zu ändern. So wurde das Verfahren aus dem Jahr 2014 nach eigenen Angaben des Beschwerdeführers zu seinen Gunsten abgeschlossen. Im Übrigen fehlt es an einem zeitlichen Kausalzusammenhang zwischen diesem und der viel späteren Ausreise. Die Mitgliedschaftsbestätigung der Parti des Jeunes ist nach dem Gesagten ebenfalls nicht geeignet, an der dargelegten Einschätzung etwas zu ändern. In antizipierter Beweiswürdigung kann mithin auf die Übersetzung dieser Beweismittel verzichtet werden. Vor diesem Hintergrund hat die Vorinstanz auch nicht ihre Abklärungspflicht verletzt, indem sie diese beiden Beweismittel in der angefochtenen Verfügung lediglich erwähnt, aber deren Eintreffen nicht abgewartet hat. An dieser Einschätzung ändern die auf Beschwerdeebene eingereichten E-Mails nichts.</w:t>
      </w:r>
    </w:p>
    <w:p>
      <w:r>
        <w:rPr>
          <w:b/>
        </w:rPr>
        <w:t>E. 5.2</w:t>
      </w:r>
    </w:p>
    <w:p>
      <w:r>
        <w:t>Angesichts der aufgezeigten Sachlage erübrigt es sich, auf weitere Ausführungen in der Beschwerde einzugehen, da diese nicht geeignet sind, zu einer anderen rechtlichen Würdigung der Aktenlage zu führen. Es ist somit festzustellen, dass es dem Beschwerdeführer nicht gelungen ist, einen flüchtlingsrechtlich bedeutsamen Sachverhalt geltend zu machen. Die Feststellung der Vorinstanz, der Beschwerdeführer erfülle die Flüchtlingseigenschaft nicht, ist dementsprechend zu bestätigen. Es besteht kein Anlass, die Sache an die Vorinstanz zurückzuweisen.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 für den Fall einer Ausschaffung nach Algerien dort mit beachtlicher Wahrscheinlichkeit einer nach Art. 3 EMRK oder Art. 1 FoK verbotenen Strafe oder Behandlung ausgesetzt wären. Der Vollzug der Wegweisung ist zulässig.</w:t>
      </w:r>
    </w:p>
    <w:p>
      <w:r>
        <w:rPr>
          <w:b/>
        </w:rPr>
        <w:t>E. 7.3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Algerien herrscht weder Krieg, Bürgerkrieg noch eine Situation allgemeiner Gewalt. Es sind auch keine individuellen Gründe ersichtlich, welche die Rückkehr des Beschwerdeführers nach Algerien als unzumutbar erscheinen lassen würden. Der junge Beschwerdeführer verfügt über abgeschlossene Berufsausbildungen, Berufserfahrung in verschiedenen Branchen sowie über ein tragfähiges Beziehungsnetz vor Ort. Es deutet nichts darauf hin, dass er aus Gründen wirtschaftlicher, sozialer oder gesundheitlicher Natur bei einer Rückkehr in eine existenzbedrohende Situation geraten würde. Bei einer Erkrankung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Hiervon ist aufgrund der Ausführungen des Beschwerdeführers und der aktenkundigen medizinischen Abklärungen jedoch nicht auszugehen (SEM-Akten A28/6 und A24/3). Im Übrigen ist in Algerien ein Angebot an psychiatrischen Behandlungen verfügbar (vgl. Urteil BVGer D-1763/2019 vom 29. April 2019 E. 7.5) und kann der Beschwerdeführer - sofern notwendig - bei der Vorinstanz einen Antrag auf medizinische Rückkehrhilfe stellen (vgl. Art. 93 Abs. 1 Bst. d AsylG i.V.m. Art. 75 AsylV 2). Der Vollzug der Wegweisung ist sowohl in genereller als auch individueller Hinsicht zumutbar.</w:t>
      </w:r>
    </w:p>
    <w:p>
      <w:r>
        <w:rPr>
          <w:b/>
        </w:rPr>
        <w:t>E. 7.4</w:t>
      </w:r>
    </w:p>
    <w:p>
      <w:r>
        <w:t>Nach Art. 83 Abs. 2 AIG ist der Vollzug auch als möglich zu bezeichnen, weil es dem Beschwerdeführer obliegt, sich die für eine Rückkehr notwendigen Reisedokumente bei der zuständigen Vertretung ihres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AIG).</w:t>
      </w:r>
    </w:p>
    <w:p>
      <w:r>
        <w:rPr>
          <w:b/>
        </w:rPr>
        <w:t>E. 8</w:t>
      </w:r>
    </w:p>
    <w:p>
      <w:r>
        <w:t>Aus diesen Erwägungen ergibt sich, dass die angefochtene Verfügung Bundesrecht nicht verletzt und auch sonst nicht zu beanstanden ist (Art. 106 AsylG). Die Beschwerde ist abzuweisen. Nach dem Gesagten gibt es keinen Anlass zur Rückweisung der Sache an die Vorinstanz. Der entsprechende Beschwerdeantrag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