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E-410/2008 vom 11. Juli 2008</w:t>
      </w:r>
    </w:p>
    <w:p>
      <w:r>
        <w:t>Bundesverwaltungsgericht, 2008-07-11, FR</w:t>
      </w:r>
    </w:p>
    <w:p>
      <w:r>
        <w:rPr>
          <w:b/>
        </w:rPr>
        <w:t xml:space="preserve">Quelle: </w:t>
      </w:r>
      <w:r>
        <w:t>https://mcp.opencaselaw.ch/entscheid/bvger_E-410_2008</w:t>
      </w:r>
    </w:p>
    <w:p>
      <w:r>
        <w:t>FR: TAF E-410/2008 du 11 juillet 2008</w:t>
      </w:r>
    </w:p>
    <w:p>
      <w:r>
        <w:t>IT: TAF E-410/2008 del 11 luglio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w:t>
      </w:r>
    </w:p>
    <w:p>
      <w:r>
        <w:t>La décision rejetant la demande d'asile est entrée en force et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5.2</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 18 consid. 14b let. ee p. 186s.).</w:t>
      </w:r>
    </w:p>
    <w:p>
      <w:r>
        <w:rPr>
          <w:b/>
        </w:rPr>
        <w:t>E. 5.4</w:t>
      </w:r>
    </w:p>
    <w:p>
      <w:r>
        <w:t>En l'occurrence, le Tribunal relève que le risque de représailles mis en avant par le recourant n'est pas crédible. En effet, il aurait combattu dans les troupes du RUF il y a plusieurs années, alors qu'il était adolescent. Il n'est en aucune manière vraisemblable que ses victimes de l'époque aient connu son identité, ni qu'elles-mêmes ou leurs proches soient aujourd'hui en mesure d'identifier l'intéressé, dans le cas improbable où il pourrait les rencontrer.</w:t>
      </w:r>
    </w:p>
    <w:p>
      <w:r>
        <w:rPr>
          <w:b/>
        </w:rPr>
        <w:t>E. 5.5</w:t>
      </w:r>
    </w:p>
    <w:p>
      <w:r>
        <w:t>S'agissant de la compatibilité d'un retour au Libéria avec l'état de santé du recourant, le Tribunal retient ce qui suit : Faisant application de l'art. 3 CEDH, la Cour européenne des droits de l'homme s'est penchée en plusieurs occasions sur l'incidence que pouvait avoir la maladie sur la licéité d'un renvoi (pour l'essentiel dans le cas de personnes infectées par le virus HIV), et a élaboré sur ce point une jurisprudence claire. Ainsi, dans son récent arrêt "N. contre Royaume-Uni", du 27 mai 2008, publié sous n° 26565/05, la Cour, confirmant sa pratique, retient que cette disposition peut faire obstacle au refoulement, lorsque la personne intéressée risque d'être l'objet de mauvais traitements de la part des autorités du pays de destination, ou de tiers contre lesquels ces autorités ne peuvent offrir une protection appropriée. S'agissant de personnes touchées dans leur santé, en revanche, le renvoi forcé n'est susceptible de constituer une violation de l'art. 3 CEDH que si l'intéressé se trouve dans un stade de sa maladie avancé et terminal, au point que sa mort apparaît comme une perspective proche. Il s'agit donc là de cas que la Cour définit comme "très exceptionnels". Le fait que le requérant risque de connaître, en cas de retour dans son pays d'origine, une dégradation importante de son état de santé, faute d'un accès convenable aux soins, n'est pas décisif, à moins que la personne concernée connaisse un état à ce point altéré que l'hypothèse de son rapide décès après le renvoi confine à la certitude. Dans le cas d'espèce, l'intéressé est atteint de pathologies mentales, pour lesquelles il est maintenant traité depuis plusieurs années. Quand bien même il a été hospitalisé en trois occasions en raison de tendances suicidaires, on ne peut sans autres considérations admettre, dans l'esprit de la jurisprudence rappelée ci-dessus, que son retour au Libéria serait de nature à le mettre dans un danger de mort imminent ; en effet, dans le cas de troubles mentaux, un tel risque ne peut par essence que rester hypothétique. Quant à la difficulté prévisible pour le recourant de poursuivre son traitement dans son pays d'origine, on a vu qu'elle ne constituait pas un facteur décisif, ce d'autant moins que ce traitement est aujourd'hui avant tout de nature médicamenteuse.</w:t>
      </w:r>
    </w:p>
    <w:p>
      <w:r>
        <w:rPr>
          <w:b/>
        </w:rPr>
        <w:t>E. 5.6</w:t>
      </w:r>
    </w:p>
    <w:p>
      <w:r>
        <w:t>Dès lors, l'exécution du renvoi du recourant sous forme de refoulement ne transgresse aucun engagement de la Suisse relevant du droit international, de sorte qu'elle s'avère licite (art. 44 al. 2 LAsi et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qu'elles ne pourraient plus recevoir les soins dont elles ont besoin (JICRA 1999 n° 28 p. 170 et jurisp. citée ; 1998 n° 22 p. 191).</w:t>
      </w:r>
    </w:p>
    <w:p>
      <w:r>
        <w:rPr>
          <w:b/>
        </w:rPr>
        <w:t>E. 6.2</w:t>
      </w:r>
    </w:p>
    <w:p>
      <w:r>
        <w:t>Dans le cas de X._______, il y a toutefois lieu de noter qu'il a été condamné deux fois pour des infractions à la LStup, et qu'il a été interpellé et incarcéré, il y a moins d'un an, pour le même motif ; contrairement à ce qu'il prétend dans son acte de recours, on doit donc admettre qu'il ne s'est pas amendé. Or l'art. 83 al. 7 LEtr (qui a remplacé l'ancien art. 14a al. 6 LSEE) prévoit que l'admission provisoire visée aux al. 2 et 4 (impossibilité et inexigibilité de l'exécution du renvoi) n'est pas ordonnée si l'étranger a été condamné à une peine privative de liberté de longue durée en Suisse ou à l'étranger ou a fait l'objet d'une mesure pénale au sens des art. 64 ou 61 CP (let. a), si l'étranger attente de manière grave ou répétée à la sécurité et à l'ordre publics en Suisse ou à l'étranger, les met en danger ou représente une menace pour la sûreté intérieure ou extérieure de la Suisse (let. b), ou si l'impossibilité d'exécuter le renvoi ou l'expulsion est due au comportement de l'étranger (let. c).</w:t>
      </w:r>
    </w:p>
    <w:p>
      <w:r>
        <w:rPr>
          <w:b/>
        </w:rPr>
        <w:t>E. 6.3</w:t>
      </w:r>
    </w:p>
    <w:p>
      <w:r>
        <w:t>En l'espèce, le recourant, du fait des infractions qu'il a commises, peut se voir appliquer l'art. 83 al. 7 let. b LEtr, dès lors qu'il porte manifestement atteinte à la sécurité et à l'ordre public. En effet, la jurisprudence de la CRA relative à l'art. 14a al. 6 LSEE, mais dont il est légitime de s'inspirer ici, a retenu, dans une décision résumant sa pratique constante (JICRA 2004 n° 39 consid. 5.3 p. 271), que l'application de cette disposition devait respecter du principe de la proportionnalité. Parmi les éléments à considérer dans cette pesée des intérêts, le principal n'est pas tant la mesure de la peine prononcée, ou l'existence d'un sursis à son exécution, que l'ampleur du danger que représente le requérant ; ce danger se déduit de la valeur des intérêts auxquels celui-ci a porté atteinte, ainsi que de son attitude générale et de sa disposition à commettre de nouvelles infractions, disposition qu'indique notamment la récidive (cf. également JICRA 1995 n° 10 consid. 5b p. 100-101). Dans le cas particulier, X._______ a fait l'objet de trois procédures pénales en rapport avec la vente de stupéfiants, la troisième étant toujours en cours. Dès lors, on peut admettre que l'intéressé a non seulement porté atteinte (ou tenté de le faire) à des biens juridiquement protégés aussi importants que la vie et la santé publique, mais a renouvelé ses agissements, ce qui lui a valu la révocation du sursis d'abord prononcé. Il a ainsi montré qu'il n'hésitait pas à persister dans ses activités délictueuses, commencées très peu de temps après son arrivée en Suisse, et qu'il était susceptible de récidiver à tout moment ; le danger pour l'ordre et la sécurité publique qu'il présente est donc grave.</w:t>
      </w:r>
    </w:p>
    <w:p>
      <w:r>
        <w:rPr>
          <w:b/>
        </w:rPr>
        <w:t>E. 6.4</w:t>
      </w:r>
    </w:p>
    <w:p>
      <w:r>
        <w:t>En conclusion, il n'y a donc pas lieu de se pencher sur le caractère raisonnablement exigible de l'exécution du renvoi de X._______.</w:t>
      </w:r>
    </w:p>
    <w:p>
      <w:r>
        <w:rPr>
          <w:b/>
        </w:rPr>
        <w:t>E. 7</w:t>
      </w:r>
    </w:p>
    <w:p>
      <w:r>
        <w:t>Enfin, le recourant, qui a produit un certificat de naissance libérien, a montré qu'il était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8</w:t>
      </w:r>
    </w:p>
    <w:p>
      <w:r>
        <w:t>Cela étant, l'exécution du renvoi doit être déclarée conforme aux dispositions légales ; il s'ensuit que le recours doit être rejeté.</w:t>
      </w:r>
    </w:p>
    <w:p>
      <w:r>
        <w:rPr>
          <w:b/>
        </w:rPr>
        <w:t>E. 9</w:t>
      </w:r>
    </w:p>
    <w:p>
      <w:r>
        <w:t>La demande d'assistance judiciaire partielle ayant été admise par ordonnance du 25 janvier 2008, il n'est pas perçu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