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E-4107/2017 vom 8. Juli 2019</w:t>
      </w:r>
    </w:p>
    <w:p>
      <w:r>
        <w:t>Bundesverwaltungsgericht, 2019-07-08, DE</w:t>
      </w:r>
    </w:p>
    <w:p>
      <w:r>
        <w:rPr>
          <w:b/>
        </w:rPr>
        <w:t xml:space="preserve">Quelle: </w:t>
      </w:r>
      <w:r>
        <w:t>https://mcp.opencaselaw.ch/entscheid/bvger_E-4107_2017</w:t>
      </w:r>
    </w:p>
    <w:p>
      <w:r>
        <w:t>FR: TAF E-4107/2017 du 8 juillet 2019</w:t>
      </w:r>
    </w:p>
    <w:p>
      <w:r>
        <w:t>IT: TAF E-4107/2017 del 8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zunächst damit, dass der Beschwerdeführer widersprüchliche Angaben zum Verlust seines Passes sowie seiner Identitätskarte und zu seinen Reiseumständen gemacht habe. Aufgrund dessen seien bereits erste Zweifel an der Glaubhaftigkeit zu seinen Asylgründen entstanden. Diese Zweifel seien durch unsubstanziierte Aussagen erhärtet worden. Er habe nicht präzisieren können, wie oft er inhaftiert und dabei sexuelle Übergriffe zu erdulden gehabt habe. Weiter habe er als Erklärung für die plötzliche Vorladung durch das C.I.D. im August 2015 lediglich angegeben, die Behörden würden alte Geschichten aufwühlen, und er habe auch nicht benennen können, wo sich die entsprechende Vorladung befinde. Ein ordentliches Strafverfahren sei sodann nie eröffnet worden und er habe jeweils weder Haft- noch Haftentlassungs-bestätigungen erhalten. Insgesamt habe er damit kein behördliches Verfolgungsinteresse darzulegen vermocht; vielmehr würden erhebliche Zweifel am Wahrheitsgehalt seiner Vorbringen bestehen. Sodann erscheine sein Verhalten gegenüber der Vorladung des C.I.D. - gerade wegen der zu erwartenden Konsequenzen - nur schwer verständlich und auch die Handlungsweise der C.I.D.-Beamten sei realitätsfremd. Es erstaune auch, dass er nach den angeblich unerträglichen Schlägen durch die Beamten keine ärztliche Behandlung habe in Anspruch nehmen müssen, sondern vielmehr normal weitergearbeitet habe. Eine medizinische Behandlung habe er erstmals im Februar 2016 in der Schweiz beansprucht, weshalb sich seine körperlichen Beschwerden nur schwer vom erwähnten Vorfall im August 2015 ableiten lassen könnten. Die in diesem Zusammenhang eingereichten Beweismittel seien als Gefälligkeitsschreiben einzustufen, weshalb ihnen ein nur geringer Beweiswert zukomme. Auch die eingereichten Arztberichte seien nicht geeignet, die Vorbringen des Beschwerdeführers zu beweisen, würden sich diese doch lediglich auf Parteiaussagen stützen. Bezüglich der geltend gemachten sexuellen Übergriffe seitens einfacher Soldaten während der Haftzeiten in den Jahren 2006 und 2007 habe sich der Beschwerdeführer weder an deren Vorgesetzte noch an andere Instanzen gewandt. Aufgrund der grundsätzlichen Schutzfähigkeit und Schutzwilligkeit der sri-lankischen Behörden würden diese Vorbringen keine Asylrelevanz zu entfalten vermögen. Besondere Risikofaktoren lägen nicht vor, und der Beschwerdeführer habe ohnehin nach Kriegsende noch sechs Jahre in seinem Heimatstaat gelebt. Dem Wegweisungsvollzug würden keine Gründe entgegenstehen, zumal sich die Sicherheitslage in Sri Lanka spürbar sowie nachhaltig gebessert habe und der Beschwerdeführer sowohl jung und arbeitsfähig sei als auch über solide Schulbildung und langjährige Arbeitserfahrung verfüge. Nachdem er in seiner Heimatregion auch über ein familiäres Beziehungsnetz sowie ein eigenes Haus verfüge, stehe einer Reintegration nichts im Weg. Die körperlichen Beschwerden seien in der Schweiz behandelt worden; sie hätten ihn aber offenbar nicht einmal bei der Arbeit bis kurz vor seiner Ausreise behindert.</w:t>
      </w:r>
    </w:p>
    <w:p>
      <w:r>
        <w:rPr>
          <w:b/>
        </w:rPr>
        <w:t>E. 4.2</w:t>
      </w:r>
    </w:p>
    <w:p>
      <w:r>
        <w:t>Zur Begründung seiner Beschwerdeanträge führte der Beschwerdeführer aus, er sei während der Befragungen durch das C.I.D. in den Jahren 2006 bis 2008 regelmässig misshandelt worden und habe gut sichtbare Narben davongetragen. Seit dem Vorfall vom August 2015, als er brutal von Beamten zusammengeschlagen worden sei, habe er eine Schwellung am Mittelfinger, die er mittels Ergotherapie erfolgreich habe behandeln können. Es bestehe zudem der Verdacht auf eine Posttraumatische Belastungsstörung. Seine Familie habe seit seiner Flucht das Familienhaus verlassen, weil er dort mehrfach gesucht worden sei. Er selbst nehme gelegentlich an Demonstrationen gegen die fortdauernde Diskriminierung der Tamilen in Sri Lanka teil. Hinsichtlich der Glaubhaftigkeitsprüfung durch das SEM sei vorliegend fraglich, ob es die vom EGMR geforderte "sehr gründliche Risikoanalyse" vorgenommen habe. Die Flucht selber sei nicht asylrelevant, weshalb die diesbezüglichen Ausführungen gemäss Rechtsprechung für die Beurteilung der Glaubhaftigkeit der Asylvorbringen nicht derart stark ins Gewicht fallen dürften. Es sei denn auch zu bemerken, dass er bei der ersten Anhörung über ganze 16 Protokollseiten zu seiner Flucht aus Sri Lanka befragt worden sei und ihm dennoch nur leicht auflösbare Widersprüche vorgeworfen worden seien. Jedenfalls würden seine Folternarben übereinstimmen mit seinen vorgebrachten Misshandlungen und es sei auch seine Traumatisierung zu berücksichtigen. Es sei zudem bekannt, dass der Sicherheitsapparat in Sri Lanka willkürlich vorgehe und seine Handlungsmotive nicht nachvollziehbar seien. Es sei jedoch naheliegend, dass aufgrund seiner Unterstützung für die LTTE vermutet werde, dass er über wertvolle Informationen verfüge und deshalb befragt worden sei. Verhaftungen hätten auch noch nach Beendigung des Bürgerkriegs auf dem Prevention of Terrorism Act (PTA) basiert, weshalb solche auch über unbegrenzte Zeit ohne Anklage möglich gewesen seien. Es könne ihm deshalb kein Vorwurf gemacht werden, dass er keine entsprechenden Beweise vorweisen könne. Sein Verhalten kurz vor der Ausreise sei auf eine psychologische Verdrängungsstrategie zurückzuführen. Aus demselben Grund habe er seine Familie auch nicht verlassen wollen, sondern erst auf Drängen seiner Frau hin die Flucht ergriffen. Das Verhalten der Sicherheitskräfte entspreche aber dem Vorgehen in dieser Region, zumal öffentliche Verhaftungen regelmässig den Widerstand der Bevölkerung wecken würden.</w:t>
      </w:r>
    </w:p>
    <w:p>
      <w:r>
        <w:rPr>
          <w:b/>
        </w:rPr>
        <w:t>E. 4.3</w:t>
      </w:r>
    </w:p>
    <w:p>
      <w:r>
        <w:t>In seiner Vernehmlassung führte das SEM bezüglich der sichtbaren Narben aus, dass dies bei der Entscheidfindung berücksichtigt, aber in Anbetracht der Gesamtumstände nicht als genügend starker Risikofaktor erachtet worden sei. Die Erklärungen des Beschwerdeführers, weshalb er das vorliegend wichtigste Beweismittel nicht beschaffen könne, würden nicht überzeugen und somit als vorgeschoben erachtet. Nicht nachvollziehbar erklärt (und ohnehin nicht mit Quellen belegt) sei auch seine Behauptung, in seiner Heimatregion würden üblicherweise keine Verhaftungen in der Öffentlichkeit vollzogen. Trotzdem hätten ihn die Beamten auf ein offenes Feld geführt und misshandelt, bis sich viele Menschen angesammelt hätten. Der Beschwerdeführer habe jedenfalls keine relevanten Umstände glaubhaft machen können, wonach er aus Sicht der sri-lankischen Behörden eine Person darstelle, die bestrebt sei, den ethnischen Konflikt im Land wieder aufflammen zu lassen. An dieser Einschätzung könnten auch die mit der Beschwerde eingereichten Fotos von seinen Narben sowie von seiner Demonstrationsteilnahme nichts ändern. Es könne daraus insbesondere nicht ersehen werden, dass er sich exilpolitisch massgeblich exponiert haben könnte.</w:t>
      </w:r>
    </w:p>
    <w:p>
      <w:r>
        <w:rPr>
          <w:b/>
        </w:rPr>
        <w:t>E. 5.1</w:t>
      </w:r>
    </w:p>
    <w:p>
      <w:r>
        <w:t>Das Gericht geht insoweit einig mit den vorinstanzlichen Ausführungen, als es die geltend gemachte Vorladung sowie das Aufsuchen des Beschwerdeführers durch das C.I.D. im Jahr 2015 ebenfalls als unglaubhaft erachtet. Zunächst erscheint nicht nachvollziehbar, weshalb das C.I.D. den Beschwerdeführer im August 2015 ohne ersichtlichen Grund hätte vorladen sollen, nachdem er ab dem Jahr 2008 keine Unterschriften mehr habe leisten müssen und in dieser Zeit auch nichts Weiteres vorgefallen sei (vgl. SEM-Akten, A3, S. 7; A12, F181). Auch die Vermutung des Beschwerdeführers, die Behörden würden einfach das alte Problem wieder aufwühlen, erscheint angesichts dieser langen Zeitspanne nicht nachvollziehbar. Realitätsfremd wirkt auch die geltend gemachte Handlungsweise des Beschwerdeführers, er sei dieser Vorladung nicht gefolgt, stattdessen sei er normal seiner Arbeit nachgegangen. Dieses Verhalten ist sodann auch nicht in Einklang zu bringen mit seiner Antwort auf die Frage einer innerstaatlichen Aufenthaltsalternative, wonach er nie umgezogen sei, weil er überall in Sri Lanka dieses Problem bekommen hätte (vgl. a.a.O., A17, F44 und F54). Wäre er tatsächlich von einer derartigen Gefährdungslage ausgegangen, hätte er sich wohl auch an seinem Arbeitsort nicht sicher vor dem C.I.D. gefühlt. Insgesamt wirkt dieser vorgebrachte Vorfall aufgrund der unlogischen Angaben und Erklärungsversuche des Beschwerdeführers konstruiert (vgl. a.a.O., A17, F48: "[...] Ich wusste nicht, weshalb man mich vorgeladen hatte. Erst, als sie mich später geschlagen haben und mir Fragen gestellt haben. [...]"). Diese Einschätzung wird insbesondere dadurch gestützt, dass der Beschwerdeführer seinen Heimatstaat im Oktober 2015 mit seinem eigenen Reisepass verlassen und er diesen auch tatsächlich vorgewiesen hat (vgl. a.a.O., A12, F14 f., F29). Die eingereichten Bestätigungen des Dorfvorstehers sowie einer Person vom Gemeindezentrum vermögen auch nach Ansicht des Gerichts nicht zu einem anderen Schluss führen.</w:t>
      </w:r>
    </w:p>
    <w:p>
      <w:r>
        <w:rPr>
          <w:b/>
        </w:rPr>
        <w:t>E. 5.2</w:t>
      </w:r>
    </w:p>
    <w:p>
      <w:r>
        <w:t>Nach dem Gesagten fehlt es den übrigen Asylvorbringen des Beschwerdeführers - den Inhaftierungen und Befragungen durch das C.I.D. sowie den Unterschriftsleistungspflicht in den Jahren 2006 bis 2008 - grundsätzlich bereits am notwendigen zeitlichen Kausalzusammenhang zu seiner Ausreise.</w:t>
      </w:r>
    </w:p>
    <w:p>
      <w:r>
        <w:rPr>
          <w:b/>
        </w:rPr>
        <w:t>E. 5.3.1</w:t>
      </w:r>
    </w:p>
    <w:p>
      <w:r>
        <w:t>Nachdem nicht von einer aktuellen Vorverfolgung des Beschwerdeführers auszugehen ist, bleibt zu prüfen, ob er bei einer Rückkehr in seinen Heimatstaat ernsthafte Nachteile im Sinn von Art. 3 AsylG zu gewärtigen hat. In diesem Zusammenhang gab er an, insbesondere aufgrund seiner Unterstützungstätigkeiten für die LTTE sowie der gut sichtbaren Narben mehrere Risikofaktoren zu erfüllen.</w:t>
      </w:r>
    </w:p>
    <w:p>
      <w:r>
        <w:rPr>
          <w:b/>
        </w:rPr>
        <w:t>E. 5.3.2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5.3.3</w:t>
      </w:r>
    </w:p>
    <w:p>
      <w:r>
        <w:t>Der Beschwerdeführer wurde in Sri Lanka nie einer Straftat angeklagt und ist damit nicht im Strafregister registriert. Weiter weist er kein politisches Profil auf und hat keine Familienmitglieder, die den LTTE angehörten. Angesichts dessen ist nicht davon auszugehen, die sri-lankischen Behörden würden ihn zu jener kleinen Gruppe zählen, die ein Interesse am Wideraufleben des tamilischen Separatismus hätten und damit den sri-lankischen Einheitsstaat gefährdet. Vor diesem Hintergrund sind nach Einschätzung des Gerichts die tamilische Ethnie, die knapp vierjährige Landesabwesenheit sowie die Narben an Arm/Bein, Bauch und Kopf nicht geeignet, von einer Gefährdung auszugehen. In diesem Zusammenhang ist wiederum darauf hinzuweisen, dass der Beschwerdeführer seinen Heimatstaat mit seinem eigenen Reisepass verlassen hat, was klar gegen eine Gefährdungssituation spricht. Unter Würdigung aller Umstände ist somit nicht davon auszugehen, dass ihm im Falle einer Rückkehr nach Sri Lanka ernsthafte Nachteile im Sinn von Art. 3 AsylG drohen würden.</w:t>
      </w:r>
    </w:p>
    <w:p>
      <w:r>
        <w:rPr>
          <w:b/>
        </w:rPr>
        <w:t>E. 5.4</w:t>
      </w:r>
    </w:p>
    <w:p>
      <w:r>
        <w:t>Insgesamt hat das SEM folglich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und dem Entscheid des Supreme Court in Sri Lanka, welcher die Suspendierung des Parlaments wieder aufhob. Auch die am 22. April 2019 verübten Anschläge in Colombo, Batticaola und Negombo, zu welchen sich der sogenannte Islamische Staat bekannte und die gleichentags zur Ausrufung des Ausnahmezustands durch die sri-lankische Regierung führten (vgl. Neue Zürcher Zeitung (NZZ) vom 29. April 2019: 15 Leichen nach Explosionen bei Razzien in Sri Lanka entdeckt - was wir über die Anschläge vom Ostersonntag wissen, https://www.nzz.ch/international/anschlaege-in-sri-lanka-was-wir-wissen-was-unklar-ist-ld.1476859, abgerufen am 2. Mai 2019; vgl. NZZ vom 23. April 2019: Anschlagsserie in Sri Lanka - Angeblich steht die Terrormiliz Islamischer Staat hinter dem Anschlag, https:// www.nzz.ch/international/terror-in-sri-lanka-steht-der-is-hinter-dem-anschl ag-ld.1476769, abgerufen am 2. Mai 2019), vermögen an der Einschätzung, wonach nicht von einer in Sri Lanka herrschenden Situation allgemeiner Gewalt auszugehen ist, nichts zu ändern.</w:t>
      </w:r>
    </w:p>
    <w:p>
      <w:r>
        <w:rPr>
          <w:b/>
        </w:rPr>
        <w:t>E. 7.3.2</w:t>
      </w:r>
    </w:p>
    <w:p>
      <w:r>
        <w:t>Gemäss Rechtsprechung ist der Vollzug von Wegweisungen in die Nord- und Ostprovinz zumutbar,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 In seinem als Referenz-urteil publizierten Entscheid qualifizierte das Bundesverwaltungsgericht auch den Vollzug von Wegweisungen ins "Vanni-Gebiet" als zumutbar (vgl. Urteil des BVGer D-3619/2016 vom 16. Oktober 2017 E. 9.5).</w:t>
      </w:r>
    </w:p>
    <w:p>
      <w:r>
        <w:rPr>
          <w:b/>
        </w:rPr>
        <w:t>E. 7.3.3</w:t>
      </w:r>
    </w:p>
    <w:p>
      <w:r>
        <w:t>Den Angaben des hinduistischen Beschwerdeführers zufolge wuchs er in D._______ auf und lebte mit seiner Frau sowie seinen drei Kindern in einem nahen gelegenen Dorf. Sowohl seine Mutter und seine Geschwister als auch seine Frau würden weiterhin in dieser Region leben. Zudem verfügt er über zehn Jahre Schulbildung, arbeitete bis zu seiner Ausreise als (...) und war ebenfalls in der Landwirtschaft tätig. Die gesundheitlichen Beschwerden konnten in der Schweiz erfolgreich behandelt werden. Unter diesen Umständen ist anzunehmen, der Beschwerdeführer würde bei einer Rückkehr in seine Heimatregion nicht in eine existenzielle Notlage geraten.</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sein Gesuch um Gewährung der unentgeltlichen Prozessführung mit Zwischenverfügung vom 27. Juli 2017 gutgeheissen wurde und den Akten keine Hinweise auf eine massgebliche Veränderung seiner finanziellen Verhältnisse zu entnehmen sind, sind keine Verfahrenskosten zu erheben.</w:t>
      </w:r>
    </w:p>
    <w:p>
      <w:r>
        <w:rPr>
          <w:b/>
        </w:rPr>
        <w:t>E. 10.1</w:t>
      </w:r>
    </w:p>
    <w:p>
      <w:r>
        <w:t>Ein erstes Gesuch des Beschwerdeführers um Bestellung der vormaligen Rechtsvertreterin als amtliche Rechtsbeiständin im Sinn von aArt. 110a AsylG war vom Instruktionsrichter mit Zwischenverfügung vom 27. Juli 2017 abgewiesen worden. Die mit der Beschwerde von dieser Rechtsvertreterin eingereichte Aufstellung ihrer Aufwendungen ist für das vorliegende Verfahren damit nicht relevant.</w:t>
      </w:r>
    </w:p>
    <w:p>
      <w:r>
        <w:rPr>
          <w:b/>
        </w:rPr>
        <w:t>E. 10.2</w:t>
      </w:r>
    </w:p>
    <w:p>
      <w:r>
        <w:t>Ein nach Abschluss des Schriftenwechsels gestelltes zweites Gesuch um Beiordnung der neuen Rechtsvertreterin als Rechtsbeiständin war vom Instruktionsrichter zwar mit Zwischenverfügung vom 15. November 2017 gutgeheissen worden. Seither waren aber keine weiteren Instruktionsmassnahmen erforderlich, welche für die amtliche Beiständin einen entschädigungspflichtigen Vertretungsaufwand zur Folge gehabt hätten. Unter diesen Umständen ist der Beiständin praxisgemäss nur der geringe Aufwand für die Einreichung ihres Gesuchs - der auf Fr. 100.- (inkl. Auslagen) zu schätzen ist - zu entschädigen (vgl. etwa Urteile BVGer D-2475/2018 vom 24. Juli 2018 E. 11 oder E-4995/2017 vom 8. Mai 2018 E. 13).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