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E-4106/2012 vom 8. Januar 2014</w:t>
      </w:r>
    </w:p>
    <w:p>
      <w:r>
        <w:t>Bundesverwaltungsgericht, 2014-01-08, DE</w:t>
      </w:r>
    </w:p>
    <w:p>
      <w:r>
        <w:rPr>
          <w:b/>
        </w:rPr>
        <w:t xml:space="preserve">Quelle: </w:t>
      </w:r>
      <w:r>
        <w:t>https://mcp.opencaselaw.ch/entscheid/bvger_E-4106_2012</w:t>
      </w:r>
    </w:p>
    <w:p>
      <w:r>
        <w:t>FR: TAF E-4106/2012 du 8 janvier 2014</w:t>
      </w:r>
    </w:p>
    <w:p>
      <w:r>
        <w:t>IT: TAF E-4106/2012 del 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Die Beschwerde ist im Verfahren einzelrichterlicher Zuständigkeit mit Zustimmung eines zweiten Richters beziehungsweise einer zweiten Richterin zu behandeln, weil sie sich im Ergebnis als offensichtlich begründet erweist (Art.111 Bst. e AsylG).</w:t>
      </w:r>
    </w:p>
    <w:p>
      <w:r>
        <w:rPr>
          <w:b/>
        </w:rPr>
        <w:t>E. 3</w:t>
      </w:r>
    </w:p>
    <w:p>
      <w:r>
        <w:t>Die Begründung der Beschwerdeanträge bindet das Bundesveraltungsgericht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4.1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 Die Vorinstanz geht damit selbst davon aus, dass der Sachverhalt, wie er der Verfügung vom 26. Juni 2012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4.2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vom 4. Oktober 2012 E. 4.6 S. 8). Die vorliegend notwendigen Abklärungen bringen eine relativ aufwändige und umfangreiche Beweiserhebung mit sich, weshalb die Kassation der angefochtenen Verfügung angezeigt ist.</w:t>
      </w:r>
    </w:p>
    <w:p>
      <w:r>
        <w:rPr>
          <w:b/>
        </w:rPr>
        <w:t>E. 4.3</w:t>
      </w:r>
    </w:p>
    <w:p>
      <w:r>
        <w:t>Die Beschwerde ist demnach insoweit gutzuheissen. Die angefochtene Verfügung ist aufzuheben und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Sein Antrag, es sei Frist zur Einreichung einer Kostennote zu setzen, wird - aus den Gründen, die ihm bereits in vielen anderen Verfahren bekanntgegeben worden sind - abgewiesen. Der zu entschädigende Vertretungsaufwand ist unter diesen Umständen aufgrund der Akten festzulegen (Art. 14 Abs. 2 VGKE). Die Parteientschädigung ist unter Berücksichtigung der massgebenden Bemessungsfaktoren (vgl. Art. 7 ff. VGKE) und der Entschädigungspraxis in vergleichbaren Fällen von Amtes wegen auf insgesamt Fr. 2'000.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