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E-4105/2012 vom 28. August 2012</w:t>
      </w:r>
    </w:p>
    <w:p>
      <w:r>
        <w:t>Bundesverwaltungsgericht, 2012-08-28, DE</w:t>
      </w:r>
    </w:p>
    <w:p>
      <w:r>
        <w:rPr>
          <w:b/>
        </w:rPr>
        <w:t xml:space="preserve">Quelle: </w:t>
      </w:r>
      <w:r>
        <w:t>https://mcp.opencaselaw.ch/entscheid/bvger_E-4105_2012</w:t>
      </w:r>
    </w:p>
    <w:p>
      <w:r>
        <w:t>FR: TAF E-4105/2012 du 28 août 2012</w:t>
      </w:r>
    </w:p>
    <w:p>
      <w:r>
        <w:t>IT: TAF E-4105/2012 del 28 agosto 2012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betreffend Vollzug der Wegweisung gutgeheissen. Im Übrigen wird die Beschwerde abgewiesen.</w:t>
      </w:r>
    </w:p>
    <w:p>
      <w:r>
        <w:rPr>
          <w:b/>
        </w:rPr>
        <w:t>E. 2</w:t>
      </w:r>
    </w:p>
    <w:p>
      <w:r>
        <w:t>Die Dispositivziffern 4 und 5 der angefochtenen Verfügung werden aufgehoben. Das BFM wird angewiesen, dem Beschwerdeführer umgehend die Einreise in die Schweiz zu gestatten und ihn vorläufig aufzunehmen.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eine reduzierte Parteientschädigung in der Höhe von insgesamt Fr. 500.- zu entrichten.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vorsitzende Richter: Die Gerichtsschreiberin: Markus König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